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华文中宋" w:hAnsi="华文中宋" w:eastAsia="华文中宋"/>
          <w:sz w:val="36"/>
          <w:szCs w:val="36"/>
        </w:rPr>
      </w:pPr>
      <w:r>
        <w:rPr>
          <w:rFonts w:hint="eastAsia" w:ascii="华文中宋" w:hAnsi="华文中宋" w:eastAsia="华文中宋"/>
          <w:sz w:val="36"/>
          <w:szCs w:val="36"/>
        </w:rPr>
        <w:t>20</w:t>
      </w:r>
      <w:r>
        <w:rPr>
          <w:rFonts w:hint="eastAsia" w:ascii="华文中宋" w:hAnsi="华文中宋" w:eastAsia="华文中宋"/>
          <w:sz w:val="36"/>
          <w:szCs w:val="36"/>
          <w:lang w:val="en-US" w:eastAsia="zh-CN"/>
        </w:rPr>
        <w:t>24</w:t>
      </w:r>
      <w:r>
        <w:rPr>
          <w:rFonts w:hint="eastAsia" w:ascii="华文中宋" w:hAnsi="华文中宋" w:eastAsia="华文中宋"/>
          <w:sz w:val="36"/>
          <w:szCs w:val="36"/>
        </w:rPr>
        <w:t>年度部门决算分析报告撰写提纲</w:t>
      </w:r>
    </w:p>
    <w:p>
      <w:pPr>
        <w:snapToGrid w:val="0"/>
        <w:jc w:val="center"/>
        <w:rPr>
          <w:rFonts w:ascii="华文中宋" w:hAnsi="华文中宋" w:eastAsia="华文中宋"/>
          <w:sz w:val="36"/>
          <w:szCs w:val="36"/>
        </w:rPr>
      </w:pPr>
      <w:r>
        <w:rPr>
          <w:rFonts w:hint="eastAsia" w:ascii="华文中宋" w:hAnsi="华文中宋" w:eastAsia="华文中宋"/>
          <w:sz w:val="36"/>
          <w:szCs w:val="36"/>
        </w:rPr>
        <w:t>（部门汇总版）</w:t>
      </w:r>
    </w:p>
    <w:p>
      <w:pPr>
        <w:snapToGrid w:val="0"/>
        <w:jc w:val="center"/>
        <w:rPr>
          <w:rFonts w:ascii="华文中宋" w:hAnsi="华文中宋" w:eastAsia="华文中宋"/>
          <w:sz w:val="36"/>
          <w:szCs w:val="36"/>
        </w:rPr>
      </w:pPr>
    </w:p>
    <w:p>
      <w:pPr>
        <w:snapToGrid w:val="0"/>
        <w:spacing w:line="520" w:lineRule="exact"/>
        <w:ind w:firstLine="640" w:firstLineChars="200"/>
        <w:rPr>
          <w:rFonts w:ascii="黑体" w:hAnsi="黑体" w:eastAsia="黑体"/>
          <w:sz w:val="32"/>
          <w:szCs w:val="32"/>
        </w:rPr>
      </w:pPr>
      <w:bookmarkStart w:id="0" w:name="YS060101"/>
      <w:r>
        <w:rPr>
          <w:rFonts w:hint="eastAsia" w:ascii="黑体" w:hAnsi="黑体" w:eastAsia="黑体"/>
          <w:sz w:val="32"/>
          <w:szCs w:val="32"/>
        </w:rPr>
        <w:t>一、部门情况</w:t>
      </w:r>
    </w:p>
    <w:bookmarkEnd w:id="0"/>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（一）基本情况。</w:t>
      </w:r>
    </w:p>
    <w:p>
      <w:pPr>
        <w:autoSpaceDE/>
        <w:snapToGrid w:val="0"/>
        <w:spacing w:line="576"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pPr>
        <w:autoSpaceDE/>
        <w:snapToGrid w:val="0"/>
        <w:spacing w:line="576"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w:t>
      </w:r>
      <w:r>
        <w:rPr>
          <w:rFonts w:hint="eastAsia" w:ascii="仿宋_GB2312" w:hAnsi="仿宋" w:eastAsia="仿宋_GB2312"/>
          <w:sz w:val="32"/>
          <w:szCs w:val="32"/>
          <w:lang w:eastAsia="zh-CN"/>
        </w:rPr>
        <w:t>）</w:t>
      </w:r>
      <w:r>
        <w:rPr>
          <w:rFonts w:hint="eastAsia" w:ascii="仿宋_GB2312" w:hAnsi="仿宋" w:eastAsia="仿宋_GB2312"/>
          <w:sz w:val="32"/>
          <w:szCs w:val="32"/>
        </w:rPr>
        <w:t>贯彻执行</w:t>
      </w:r>
      <w:bookmarkStart w:id="3" w:name="_GoBack"/>
      <w:bookmarkEnd w:id="3"/>
      <w:r>
        <w:rPr>
          <w:rFonts w:hint="eastAsia" w:ascii="仿宋_GB2312" w:hAnsi="仿宋" w:eastAsia="仿宋_GB2312"/>
          <w:sz w:val="32"/>
          <w:szCs w:val="32"/>
        </w:rPr>
        <w:t>上级关于新时期民族语言方针政策和法律法规，负责编制并组织实施全县藏语言文字工作中长期规划和年度计划；</w:t>
      </w:r>
    </w:p>
    <w:p>
      <w:pPr>
        <w:autoSpaceDE/>
        <w:snapToGrid w:val="0"/>
        <w:spacing w:line="576"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2</w:t>
      </w:r>
      <w:r>
        <w:rPr>
          <w:rFonts w:hint="eastAsia" w:ascii="仿宋_GB2312" w:hAnsi="仿宋" w:eastAsia="仿宋_GB2312"/>
          <w:sz w:val="32"/>
          <w:szCs w:val="32"/>
          <w:lang w:eastAsia="zh-CN"/>
        </w:rPr>
        <w:t>）</w:t>
      </w:r>
      <w:r>
        <w:rPr>
          <w:rFonts w:hint="eastAsia" w:ascii="仿宋_GB2312" w:hAnsi="仿宋" w:eastAsia="仿宋_GB2312"/>
          <w:sz w:val="32"/>
          <w:szCs w:val="32"/>
        </w:rPr>
        <w:t>指导和监督检查全县学习、使用和发展藏语言文字工作情况；</w:t>
      </w:r>
    </w:p>
    <w:p>
      <w:pPr>
        <w:autoSpaceDE/>
        <w:snapToGrid w:val="0"/>
        <w:spacing w:line="576"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3</w:t>
      </w:r>
      <w:r>
        <w:rPr>
          <w:rFonts w:hint="eastAsia" w:ascii="仿宋_GB2312" w:hAnsi="仿宋" w:eastAsia="仿宋_GB2312"/>
          <w:sz w:val="32"/>
          <w:szCs w:val="32"/>
          <w:lang w:eastAsia="zh-CN"/>
        </w:rPr>
        <w:t>）</w:t>
      </w:r>
      <w:r>
        <w:rPr>
          <w:rFonts w:hint="eastAsia" w:ascii="仿宋_GB2312" w:hAnsi="仿宋" w:eastAsia="仿宋_GB2312"/>
          <w:sz w:val="32"/>
          <w:szCs w:val="32"/>
        </w:rPr>
        <w:t>监督执行藏语言文字及脏语言文字信息处理的规范和标准；</w:t>
      </w:r>
    </w:p>
    <w:p>
      <w:pPr>
        <w:autoSpaceDE/>
        <w:snapToGrid w:val="0"/>
        <w:spacing w:line="576"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4</w:t>
      </w:r>
      <w:r>
        <w:rPr>
          <w:rFonts w:hint="eastAsia" w:ascii="仿宋_GB2312" w:hAnsi="仿宋" w:eastAsia="仿宋_GB2312"/>
          <w:sz w:val="32"/>
          <w:szCs w:val="32"/>
          <w:lang w:eastAsia="zh-CN"/>
        </w:rPr>
        <w:t>）</w:t>
      </w:r>
      <w:r>
        <w:rPr>
          <w:rFonts w:hint="eastAsia" w:ascii="仿宋_GB2312" w:hAnsi="仿宋" w:eastAsia="仿宋_GB2312"/>
          <w:sz w:val="32"/>
          <w:szCs w:val="32"/>
        </w:rPr>
        <w:t>承担藏语言文字新词术语的收集、审核、上报、推广工作；</w:t>
      </w:r>
    </w:p>
    <w:p>
      <w:pPr>
        <w:autoSpaceDE/>
        <w:snapToGrid w:val="0"/>
        <w:spacing w:line="576"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5</w:t>
      </w:r>
      <w:r>
        <w:rPr>
          <w:rFonts w:hint="eastAsia" w:ascii="仿宋_GB2312" w:hAnsi="仿宋" w:eastAsia="仿宋_GB2312"/>
          <w:sz w:val="32"/>
          <w:szCs w:val="32"/>
          <w:lang w:eastAsia="zh-CN"/>
        </w:rPr>
        <w:t>）</w:t>
      </w:r>
      <w:r>
        <w:rPr>
          <w:rFonts w:hint="eastAsia" w:ascii="仿宋_GB2312" w:hAnsi="仿宋" w:eastAsia="仿宋_GB2312"/>
          <w:sz w:val="32"/>
          <w:szCs w:val="32"/>
        </w:rPr>
        <w:t>负责指导藏语文软件开发、推广应用工作；</w:t>
      </w:r>
    </w:p>
    <w:p>
      <w:pPr>
        <w:autoSpaceDE/>
        <w:snapToGrid w:val="0"/>
        <w:spacing w:line="576"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6</w:t>
      </w:r>
      <w:r>
        <w:rPr>
          <w:rFonts w:hint="eastAsia" w:ascii="仿宋_GB2312" w:hAnsi="仿宋" w:eastAsia="仿宋_GB2312"/>
          <w:sz w:val="32"/>
          <w:szCs w:val="32"/>
          <w:lang w:eastAsia="zh-CN"/>
        </w:rPr>
        <w:t>）</w:t>
      </w:r>
      <w:r>
        <w:rPr>
          <w:rFonts w:hint="eastAsia" w:ascii="仿宋_GB2312" w:hAnsi="仿宋" w:eastAsia="仿宋_GB2312"/>
          <w:sz w:val="32"/>
          <w:szCs w:val="32"/>
        </w:rPr>
        <w:t>管理、监督全县社会使用藏语言文字的规范化工作；</w:t>
      </w:r>
    </w:p>
    <w:p>
      <w:pPr>
        <w:autoSpaceDE/>
        <w:snapToGrid w:val="0"/>
        <w:spacing w:line="576"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7</w:t>
      </w:r>
      <w:r>
        <w:rPr>
          <w:rFonts w:hint="eastAsia" w:ascii="仿宋_GB2312" w:hAnsi="仿宋" w:eastAsia="仿宋_GB2312"/>
          <w:sz w:val="32"/>
          <w:szCs w:val="32"/>
          <w:lang w:eastAsia="zh-CN"/>
        </w:rPr>
        <w:t>）</w:t>
      </w:r>
      <w:r>
        <w:rPr>
          <w:rFonts w:hint="eastAsia" w:ascii="仿宋_GB2312" w:hAnsi="仿宋" w:eastAsia="仿宋_GB2312"/>
          <w:sz w:val="32"/>
          <w:szCs w:val="32"/>
        </w:rPr>
        <w:t>承担县委、县人大、县政府、县政协交办的重要文件、资料、政策法规的藏语文翻译工作；</w:t>
      </w:r>
    </w:p>
    <w:p>
      <w:pPr>
        <w:autoSpaceDE/>
        <w:snapToGrid w:val="0"/>
        <w:spacing w:line="576"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8</w:t>
      </w:r>
      <w:r>
        <w:rPr>
          <w:rFonts w:hint="eastAsia" w:ascii="仿宋_GB2312" w:hAnsi="仿宋" w:eastAsia="仿宋_GB2312"/>
          <w:sz w:val="32"/>
          <w:szCs w:val="32"/>
          <w:lang w:eastAsia="zh-CN"/>
        </w:rPr>
        <w:t>）</w:t>
      </w:r>
      <w:r>
        <w:rPr>
          <w:rFonts w:hint="eastAsia" w:ascii="仿宋_GB2312" w:hAnsi="仿宋" w:eastAsia="仿宋_GB2312"/>
          <w:sz w:val="32"/>
          <w:szCs w:val="32"/>
        </w:rPr>
        <w:t>组织开展藏语言文字及翻译工作的理论研究，承担全县藏语文翻译人员的培训工作；</w:t>
      </w:r>
    </w:p>
    <w:p>
      <w:pPr>
        <w:autoSpaceDE/>
        <w:snapToGrid w:val="0"/>
        <w:spacing w:line="576"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9</w:t>
      </w:r>
      <w:r>
        <w:rPr>
          <w:rFonts w:hint="eastAsia" w:ascii="仿宋_GB2312" w:hAnsi="仿宋" w:eastAsia="仿宋_GB2312"/>
          <w:sz w:val="32"/>
          <w:szCs w:val="32"/>
          <w:lang w:eastAsia="zh-CN"/>
        </w:rPr>
        <w:t>）</w:t>
      </w:r>
      <w:r>
        <w:rPr>
          <w:rFonts w:hint="eastAsia" w:ascii="仿宋_GB2312" w:hAnsi="仿宋" w:eastAsia="仿宋_GB2312"/>
          <w:sz w:val="32"/>
          <w:szCs w:val="32"/>
        </w:rPr>
        <w:t>承办县藏语文工作委员会的日常工作；</w:t>
      </w:r>
    </w:p>
    <w:p>
      <w:pPr>
        <w:autoSpaceDE/>
        <w:snapToGrid w:val="0"/>
        <w:spacing w:line="576"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10</w:t>
      </w:r>
      <w:r>
        <w:rPr>
          <w:rFonts w:hint="eastAsia" w:ascii="仿宋_GB2312" w:hAnsi="仿宋" w:eastAsia="仿宋_GB2312"/>
          <w:sz w:val="32"/>
          <w:szCs w:val="32"/>
          <w:lang w:eastAsia="zh-CN"/>
        </w:rPr>
        <w:t>）</w:t>
      </w:r>
      <w:r>
        <w:rPr>
          <w:rFonts w:hint="eastAsia" w:ascii="仿宋_GB2312" w:hAnsi="仿宋" w:eastAsia="仿宋_GB2312"/>
          <w:sz w:val="32"/>
          <w:szCs w:val="32"/>
        </w:rPr>
        <w:t>承办县政府和上级业务主管部门交办的其他事项。</w:t>
      </w:r>
    </w:p>
    <w:p>
      <w:pPr>
        <w:snapToGrid w:val="0"/>
        <w:spacing w:line="576"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2．机构情况，包括当年变动情况及原因。</w:t>
      </w:r>
    </w:p>
    <w:p>
      <w:pPr>
        <w:autoSpaceDE w:val="0"/>
        <w:snapToGrid w:val="0"/>
        <w:spacing w:line="576" w:lineRule="exact"/>
        <w:ind w:firstLine="640" w:firstLineChars="200"/>
        <w:rPr>
          <w:rFonts w:ascii="楷体" w:hAnsi="楷体" w:eastAsia="楷体"/>
          <w:sz w:val="32"/>
          <w:szCs w:val="32"/>
        </w:rPr>
      </w:pPr>
      <w:r>
        <w:rPr>
          <w:rFonts w:hint="eastAsia" w:ascii="仿宋" w:hAnsi="仿宋" w:eastAsia="仿宋"/>
          <w:sz w:val="32"/>
          <w:szCs w:val="32"/>
        </w:rPr>
        <w:t>1989年，八宿县编译室成立，并于县委办合署办公，八宿县编译组更名为八宿县编译室，为政府办下属机构。1997年，机构改革，县编译室为正科级事业单位， 2011年，列入参照公务员管理单位，机构名称为西藏八宿县藏语文工作委员会办公室（编译局）。</w:t>
      </w:r>
    </w:p>
    <w:p>
      <w:pPr>
        <w:snapToGrid w:val="0"/>
        <w:spacing w:line="576"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3．人员情况，包括当年变动情况及原因。</w:t>
      </w:r>
    </w:p>
    <w:p>
      <w:pPr>
        <w:autoSpaceDE w:val="0"/>
        <w:snapToGrid w:val="0"/>
        <w:spacing w:line="576"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西藏八宿县藏语文工作委员会办公室（编译局），核定编制四名，单位现有</w:t>
      </w:r>
      <w:r>
        <w:rPr>
          <w:rFonts w:hint="eastAsia" w:ascii="仿宋" w:hAnsi="仿宋" w:eastAsia="仿宋"/>
          <w:sz w:val="32"/>
          <w:szCs w:val="32"/>
          <w:lang w:val="en-US" w:eastAsia="zh-CN"/>
        </w:rPr>
        <w:t>4</w:t>
      </w:r>
      <w:r>
        <w:rPr>
          <w:rFonts w:hint="eastAsia" w:ascii="仿宋" w:hAnsi="仿宋" w:eastAsia="仿宋"/>
          <w:sz w:val="32"/>
          <w:szCs w:val="32"/>
        </w:rPr>
        <w:t>人</w:t>
      </w:r>
      <w:r>
        <w:rPr>
          <w:rFonts w:hint="eastAsia" w:ascii="仿宋" w:hAnsi="仿宋" w:eastAsia="仿宋"/>
          <w:sz w:val="32"/>
          <w:szCs w:val="32"/>
          <w:lang w:eastAsia="zh-CN"/>
        </w:rPr>
        <w:t>。</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3．人员情况，包括当年变动情况及原因。</w:t>
      </w:r>
    </w:p>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（二）当年取得的主要事业成效。</w:t>
      </w:r>
    </w:p>
    <w:p>
      <w:pPr>
        <w:spacing w:line="560" w:lineRule="exact"/>
        <w:ind w:firstLine="640" w:firstLineChars="200"/>
        <w:rPr>
          <w:rFonts w:ascii="仿宋" w:hAnsi="仿宋" w:eastAsia="仿宋" w:cs="仿宋_GB2312"/>
          <w:sz w:val="32"/>
          <w:szCs w:val="32"/>
        </w:rPr>
      </w:pPr>
      <w:bookmarkStart w:id="1" w:name="YS060102"/>
      <w:r>
        <w:rPr>
          <w:rFonts w:hint="eastAsia" w:ascii="仿宋" w:hAnsi="仿宋" w:eastAsia="仿宋" w:cs="仿宋"/>
          <w:sz w:val="32"/>
          <w:szCs w:val="32"/>
        </w:rPr>
        <w:t>一年来</w:t>
      </w:r>
      <w:r>
        <w:rPr>
          <w:rFonts w:ascii="仿宋" w:hAnsi="仿宋" w:eastAsia="仿宋" w:cs="仿宋"/>
          <w:sz w:val="32"/>
          <w:szCs w:val="32"/>
        </w:rPr>
        <w:t>,</w:t>
      </w:r>
      <w:r>
        <w:rPr>
          <w:rFonts w:hint="eastAsia" w:ascii="仿宋" w:hAnsi="仿宋" w:eastAsia="仿宋" w:cs="仿宋"/>
          <w:sz w:val="32"/>
          <w:szCs w:val="32"/>
        </w:rPr>
        <w:t>八宿县藏语委办(编译局)</w:t>
      </w:r>
      <w:r>
        <w:rPr>
          <w:rFonts w:hint="eastAsia" w:ascii="仿宋" w:hAnsi="仿宋" w:eastAsia="仿宋" w:cs="Times New Roman"/>
          <w:sz w:val="32"/>
          <w:szCs w:val="32"/>
        </w:rPr>
        <w:t>在县委、县府的正确领导下,在上级业务部门的关心和支持下,</w:t>
      </w:r>
      <w:r>
        <w:rPr>
          <w:rFonts w:hint="eastAsia" w:ascii="仿宋" w:hAnsi="仿宋" w:eastAsia="仿宋" w:cs="仿宋_GB2312"/>
          <w:sz w:val="32"/>
          <w:szCs w:val="32"/>
        </w:rPr>
        <w:t xml:space="preserve"> 坚持以习近平新时代中国特色社会主义思想为指导，认真学习贯彻党的二十大全会精神和区党委、市委、县委会议精神，以进一步改进作风狠抓落实推进年工作为契机，加强干部队伍作风建设，自觉从政治和全局的高度来认识改进作风狠抓落实工作，严肃工作纪律、端正工作态度，认真执行各项部署，切实增强责任感和使命感，坚持党的新时期民族语言方针政策，紧密结合八宿县藏语文工作实际，解放思想，开拓创新，积极进取，较好地完成了各项任务。</w:t>
      </w:r>
    </w:p>
    <w:p>
      <w:pPr>
        <w:snapToGrid/>
        <w:spacing w:after="0" w:line="560" w:lineRule="exact"/>
        <w:ind w:firstLine="640" w:firstLineChars="200"/>
        <w:jc w:val="both"/>
        <w:rPr>
          <w:rFonts w:ascii="黑体" w:hAnsi="黑体" w:eastAsia="黑体" w:cs="仿宋_GB2312"/>
          <w:sz w:val="32"/>
          <w:szCs w:val="32"/>
        </w:rPr>
      </w:pPr>
      <w:r>
        <w:rPr>
          <w:rFonts w:hint="eastAsia" w:ascii="黑体" w:hAnsi="黑体" w:eastAsia="黑体" w:cs="仿宋_GB2312"/>
          <w:sz w:val="32"/>
          <w:szCs w:val="32"/>
        </w:rPr>
        <w:t>一、工作开展情况</w:t>
      </w:r>
    </w:p>
    <w:p>
      <w:pPr>
        <w:snapToGrid/>
        <w:spacing w:after="0" w:line="560" w:lineRule="exact"/>
        <w:ind w:firstLine="480" w:firstLineChars="150"/>
        <w:jc w:val="both"/>
        <w:rPr>
          <w:rFonts w:ascii="仿宋" w:hAnsi="仿宋" w:eastAsia="仿宋" w:cs="仿宋_GB2312"/>
          <w:sz w:val="32"/>
          <w:szCs w:val="32"/>
        </w:rPr>
      </w:pPr>
      <w:r>
        <w:rPr>
          <w:rFonts w:hint="eastAsia" w:ascii="楷体" w:hAnsi="楷体" w:eastAsia="楷体"/>
          <w:sz w:val="32"/>
          <w:szCs w:val="32"/>
        </w:rPr>
        <w:t>（一）加强理论学习,为推动藏语文编译工作打下理论基础。</w:t>
      </w:r>
      <w:r>
        <w:rPr>
          <w:rFonts w:hint="eastAsia" w:ascii="仿宋" w:hAnsi="仿宋" w:eastAsia="仿宋"/>
          <w:sz w:val="32"/>
          <w:szCs w:val="32"/>
        </w:rPr>
        <w:t>藏语委办（编译局）在坚持支部学习和单位集中学习的同时,采取自学、讨论等形式狠抓了办（局）党员干部职工的政治理论学习。</w:t>
      </w:r>
      <w:r>
        <w:rPr>
          <w:rFonts w:hint="eastAsia" w:ascii="仿宋" w:hAnsi="仿宋" w:eastAsia="仿宋" w:cs="仿宋_GB2312"/>
          <w:sz w:val="32"/>
          <w:szCs w:val="32"/>
        </w:rPr>
        <w:t>认真学习贯彻党的二十大精神以及</w:t>
      </w:r>
      <w:r>
        <w:rPr>
          <w:rFonts w:hint="eastAsia" w:ascii="仿宋" w:hAnsi="仿宋" w:eastAsia="仿宋"/>
          <w:sz w:val="32"/>
          <w:szCs w:val="32"/>
        </w:rPr>
        <w:t>全国两会精神，认真学习</w:t>
      </w:r>
      <w:r>
        <w:rPr>
          <w:rFonts w:hint="eastAsia" w:ascii="仿宋" w:hAnsi="仿宋" w:eastAsia="仿宋" w:cs="仿宋_GB2312"/>
          <w:sz w:val="32"/>
          <w:szCs w:val="32"/>
        </w:rPr>
        <w:t>区党委、市委、县委会议精神，并将学习贯彻党的二十大精神作为当前和今后一个时期的首要政治任务，立足岗位职责，坚持学用结合，督促干部做好学习笔记，确保每名干部能够系统地掌握核心要义和精神实质，推动我县藏语文和编译各项工作高质量发展。</w:t>
      </w:r>
    </w:p>
    <w:p>
      <w:pPr>
        <w:snapToGrid/>
        <w:spacing w:after="0" w:line="560" w:lineRule="exact"/>
        <w:ind w:firstLine="480" w:firstLineChars="150"/>
        <w:jc w:val="both"/>
        <w:rPr>
          <w:rFonts w:ascii="仿宋" w:hAnsi="仿宋" w:eastAsia="仿宋" w:cs="仿宋_GB2312"/>
          <w:sz w:val="32"/>
          <w:szCs w:val="32"/>
        </w:rPr>
      </w:pPr>
      <w:r>
        <w:rPr>
          <w:rFonts w:hint="eastAsia" w:ascii="楷体" w:hAnsi="楷体" w:eastAsia="楷体" w:cs="仿宋"/>
          <w:bCs/>
          <w:sz w:val="32"/>
          <w:szCs w:val="32"/>
        </w:rPr>
        <w:t>（二）提高思想警惕，狠抓维护稳定工作</w:t>
      </w:r>
      <w:r>
        <w:rPr>
          <w:rFonts w:hint="eastAsia" w:ascii="仿宋" w:hAnsi="仿宋" w:eastAsia="仿宋" w:cs="仿宋"/>
          <w:b/>
          <w:bCs/>
          <w:sz w:val="32"/>
          <w:szCs w:val="32"/>
        </w:rPr>
        <w:t>。</w:t>
      </w:r>
      <w:r>
        <w:rPr>
          <w:rFonts w:hint="eastAsia" w:ascii="仿宋" w:hAnsi="仿宋" w:eastAsia="仿宋" w:cs="仿宋"/>
          <w:bCs/>
          <w:sz w:val="32"/>
          <w:szCs w:val="32"/>
        </w:rPr>
        <w:t>始终把维护社会稳定工作作为重大政治任务，在三大节日、三月、全国“两会”和萨嘎达瓦期间组织在家干部职工召开维护稳定工作会议，传达县委有关维护稳定工作会议精神，安排部署本单位维护稳定工作任务，严格落实有关维护稳定工作的要求，强化值班带班，确保了三大节日、全国“两会”、三月份和萨嘎达瓦期间维护稳定的各项任务。</w:t>
      </w:r>
    </w:p>
    <w:p>
      <w:pPr>
        <w:snapToGrid/>
        <w:spacing w:after="0" w:line="560" w:lineRule="exact"/>
        <w:ind w:firstLine="640" w:firstLineChars="200"/>
        <w:jc w:val="both"/>
        <w:rPr>
          <w:rFonts w:ascii="仿宋" w:hAnsi="仿宋" w:eastAsia="仿宋" w:cs="仿宋"/>
          <w:b/>
          <w:sz w:val="32"/>
          <w:szCs w:val="32"/>
        </w:rPr>
      </w:pPr>
      <w:r>
        <w:rPr>
          <w:rFonts w:hint="eastAsia" w:ascii="楷体" w:hAnsi="楷体" w:eastAsia="楷体" w:cs="仿宋"/>
          <w:bCs/>
          <w:sz w:val="32"/>
          <w:szCs w:val="32"/>
        </w:rPr>
        <w:t>（三）加大宣传力度，引导各族群众树立规范使用社会用字的意识。</w:t>
      </w:r>
      <w:r>
        <w:rPr>
          <w:rFonts w:hint="eastAsia" w:ascii="仿宋" w:hAnsi="仿宋" w:eastAsia="仿宋" w:cs="仿宋"/>
          <w:bCs/>
          <w:sz w:val="32"/>
          <w:szCs w:val="32"/>
        </w:rPr>
        <w:t>为进一步提高广大干部群众规范使用藏语言文字意识，更好地规范我县藏语文社会用字管理工作，促进藏语文社会用字规范化，标准化建设，提升城市形象， 3月18日，与县人民法院、检察院等相关部门联合开展一次法治宣传活动，主要宣传了《民族区域自治法》《西藏自治区学习、使用和发展藏语文规定》等法规政策，引导各族群众树立规范使用社会用字的意识。共发放40余张宣传单。</w:t>
      </w:r>
      <w:r>
        <w:rPr>
          <w:rFonts w:hint="eastAsia" w:ascii="仿宋" w:hAnsi="仿宋" w:eastAsia="仿宋" w:cs="仿宋"/>
          <w:sz w:val="32"/>
          <w:szCs w:val="32"/>
        </w:rPr>
        <w:t>9月16日，组织干部在县城主干街道开展“铸牢中华民族共同意识同心聚力共建平安西藏”为主题的法治宣传活动，结合藏语委办（编译局）工作实际，通过悬挂横幅、发放宣传单、宣传手册、宣传物品等形式大力宣传《宪法》《民族区域自治法》《中华人民共和国国家通用语言法》《西藏自治区学习、使用和发展藏语文的规定》以及党的民族理论、民族政策、民族法律法规，引导群众牢固树立正确的祖国观、历史观、民族观，营造民族团结、共同进步的浓厚氛围。活动共发放藏汉双语宣传单100余张，发放宣传手册10余张，发放物品50多。</w:t>
      </w:r>
    </w:p>
    <w:p>
      <w:pPr>
        <w:snapToGrid/>
        <w:spacing w:after="0" w:line="560" w:lineRule="exact"/>
        <w:ind w:firstLine="640" w:firstLineChars="200"/>
        <w:jc w:val="both"/>
        <w:rPr>
          <w:rFonts w:ascii="仿宋" w:hAnsi="仿宋" w:eastAsia="仿宋" w:cs="仿宋_GB2312"/>
          <w:sz w:val="32"/>
          <w:szCs w:val="32"/>
        </w:rPr>
      </w:pPr>
      <w:r>
        <w:rPr>
          <w:rFonts w:hint="eastAsia" w:ascii="楷体" w:hAnsi="楷体" w:eastAsia="楷体" w:cs="仿宋_GB2312"/>
          <w:sz w:val="32"/>
          <w:szCs w:val="32"/>
        </w:rPr>
        <w:t>（四）圆满完成了各项编译工作任务，为县委、县府中心工作和农牧民群众提供优质服务。</w:t>
      </w:r>
      <w:r>
        <w:rPr>
          <w:rFonts w:hint="eastAsia" w:ascii="仿宋" w:hAnsi="仿宋" w:eastAsia="仿宋" w:cs="仿宋_GB2312"/>
          <w:sz w:val="32"/>
          <w:szCs w:val="32"/>
        </w:rPr>
        <w:t>民族语文翻译工作巩固社会主义民族关系和开展民族工作的重要内容，是促进民族地区经济建设、政治建设、文化建设和少数民族干部群众的纽带和桥梁。2023年，</w:t>
      </w:r>
      <w:r>
        <w:rPr>
          <w:rFonts w:hint="eastAsia" w:ascii="仿宋" w:hAnsi="仿宋" w:eastAsia="仿宋" w:cs="仿宋_GB2312"/>
          <w:b/>
          <w:sz w:val="32"/>
          <w:szCs w:val="32"/>
        </w:rPr>
        <w:t>一是</w:t>
      </w:r>
      <w:r>
        <w:rPr>
          <w:rFonts w:hint="eastAsia" w:ascii="仿宋" w:hAnsi="仿宋" w:eastAsia="仿宋" w:cs="仿宋_GB2312"/>
          <w:sz w:val="32"/>
          <w:szCs w:val="32"/>
        </w:rPr>
        <w:t>紧紧围绕县委、县府的中心工作</w:t>
      </w:r>
      <w:r>
        <w:rPr>
          <w:rFonts w:hint="eastAsia" w:ascii="仿宋" w:hAnsi="仿宋" w:eastAsia="仿宋" w:cs="仿宋_GB2312"/>
          <w:b/>
          <w:sz w:val="32"/>
          <w:szCs w:val="32"/>
        </w:rPr>
        <w:t>，</w:t>
      </w:r>
      <w:r>
        <w:rPr>
          <w:rFonts w:hint="eastAsia" w:ascii="仿宋" w:hAnsi="仿宋" w:eastAsia="仿宋" w:cs="仿宋_GB2312"/>
          <w:sz w:val="32"/>
          <w:szCs w:val="32"/>
        </w:rPr>
        <w:t>我局十分重视县“两会”的翻译工作，在“两会”召开期间，我局克服业务人员少、翻译任务重的困难，发扬不怕苦、不怕累，连续作战的工作作风，加班加点，保质保量地完成了“两会”的各种文件材料翻译60多件，数字达25万余字。</w:t>
      </w:r>
      <w:r>
        <w:rPr>
          <w:rFonts w:hint="eastAsia" w:ascii="仿宋" w:hAnsi="仿宋" w:eastAsia="仿宋" w:cs="仿宋_GB2312"/>
          <w:b/>
          <w:sz w:val="32"/>
          <w:szCs w:val="32"/>
        </w:rPr>
        <w:t>二是</w:t>
      </w:r>
      <w:r>
        <w:rPr>
          <w:rFonts w:hint="eastAsia" w:ascii="仿宋" w:hAnsi="仿宋" w:eastAsia="仿宋" w:cs="仿宋_GB2312"/>
          <w:sz w:val="32"/>
          <w:szCs w:val="32"/>
        </w:rPr>
        <w:t>积极协助其他部门完成翻译工作，今年以来向其他部门翻译各种文件材料258件，数字34万余字。</w:t>
      </w:r>
      <w:r>
        <w:rPr>
          <w:rFonts w:hint="eastAsia" w:ascii="仿宋" w:hAnsi="仿宋" w:eastAsia="仿宋" w:cs="仿宋_GB2312"/>
          <w:b/>
          <w:sz w:val="32"/>
          <w:szCs w:val="32"/>
        </w:rPr>
        <w:t>三是</w:t>
      </w:r>
      <w:r>
        <w:rPr>
          <w:rFonts w:hint="eastAsia" w:ascii="仿宋" w:hAnsi="仿宋" w:eastAsia="仿宋" w:cs="仿宋_GB2312"/>
          <w:sz w:val="32"/>
          <w:szCs w:val="32"/>
        </w:rPr>
        <w:t>通过微信翻译群，切实提高双语使用率和准确率，确保双语标准化和</w:t>
      </w:r>
    </w:p>
    <w:p>
      <w:pPr>
        <w:snapToGrid/>
        <w:spacing w:after="0" w:line="560" w:lineRule="exact"/>
        <w:jc w:val="both"/>
        <w:rPr>
          <w:rFonts w:ascii="仿宋" w:hAnsi="仿宋" w:eastAsia="仿宋" w:cs="仿宋_GB2312"/>
          <w:sz w:val="32"/>
          <w:szCs w:val="32"/>
        </w:rPr>
      </w:pPr>
      <w:r>
        <w:rPr>
          <w:rFonts w:hint="eastAsia" w:ascii="仿宋" w:hAnsi="仿宋" w:eastAsia="仿宋" w:cs="仿宋_GB2312"/>
          <w:sz w:val="32"/>
          <w:szCs w:val="32"/>
        </w:rPr>
        <w:t>规范化，共计翻译120余份，数字达7万余字。全年翻译任务共计66万余字。</w:t>
      </w:r>
    </w:p>
    <w:p>
      <w:pPr>
        <w:snapToGrid/>
        <w:spacing w:after="0" w:line="560" w:lineRule="exact"/>
        <w:ind w:firstLine="320" w:firstLineChars="100"/>
        <w:jc w:val="both"/>
        <w:rPr>
          <w:rFonts w:ascii="仿宋" w:hAnsi="仿宋" w:eastAsia="仿宋" w:cs="仿宋_GB2312"/>
          <w:sz w:val="32"/>
          <w:szCs w:val="32"/>
        </w:rPr>
      </w:pPr>
      <w:r>
        <w:rPr>
          <w:rFonts w:hint="eastAsia" w:ascii="楷体" w:hAnsi="楷体" w:eastAsia="楷体" w:cs="仿宋_GB2312"/>
          <w:sz w:val="32"/>
          <w:szCs w:val="32"/>
        </w:rPr>
        <w:t>（五）依法管理社会用字，促进藏语言文字规范使用。</w:t>
      </w:r>
      <w:r>
        <w:rPr>
          <w:rFonts w:hint="eastAsia" w:ascii="仿宋" w:hAnsi="仿宋" w:eastAsia="仿宋" w:cs="仿宋_GB2312"/>
          <w:sz w:val="32"/>
          <w:szCs w:val="32"/>
        </w:rPr>
        <w:t>为进一步规范我县社会用字管理，促进社会用字规范化、标准化、营造良好的语言环境，更好地服务全县经济社会长治久安和高质量发展。2023年以来，我局在全县内共开展社会用字规范检查13次，其中县城内7次，公路沿线4次、全乡镇覆盖2次，共发现问题20处，其中无使用藏文5处， 藏文错字6处、藏汉比例严重失调3处、翻译不标准6处，现场整改6处，发放限期整改通知书14份，已全部整改。</w:t>
      </w:r>
    </w:p>
    <w:p>
      <w:pPr>
        <w:snapToGrid/>
        <w:spacing w:after="0" w:line="560" w:lineRule="exact"/>
        <w:ind w:firstLine="640" w:firstLineChars="200"/>
        <w:jc w:val="both"/>
        <w:rPr>
          <w:rFonts w:ascii="仿宋" w:hAnsi="仿宋" w:eastAsia="仿宋" w:cs="仿宋_GB2312"/>
          <w:sz w:val="32"/>
          <w:szCs w:val="32"/>
        </w:rPr>
      </w:pPr>
      <w:r>
        <w:rPr>
          <w:rFonts w:hint="eastAsia" w:ascii="仿宋" w:hAnsi="仿宋" w:eastAsia="仿宋" w:cs="仿宋_GB2312"/>
          <w:sz w:val="32"/>
          <w:szCs w:val="32"/>
        </w:rPr>
        <w:t>另外，为进一步提高各广告公司（店）从业人员业务素质，保障社会用规范规范化，2023年，我局组织全县各广告公司从业人员开展培训。此次培训，主要内容，围绕门牌、宣传栏、横幅及日常翻译中出现的疑点、难点、漏点等问题进行详细讲解，并结合例子进行探讨和交流。</w:t>
      </w:r>
    </w:p>
    <w:p>
      <w:pPr>
        <w:spacing w:line="560" w:lineRule="exact"/>
        <w:ind w:firstLine="640" w:firstLineChars="200"/>
        <w:rPr>
          <w:rFonts w:ascii="仿宋" w:hAnsi="仿宋" w:eastAsia="仿宋" w:cs="仿宋_GB2312"/>
          <w:sz w:val="32"/>
          <w:szCs w:val="32"/>
        </w:rPr>
      </w:pPr>
      <w:r>
        <w:rPr>
          <w:rFonts w:hint="eastAsia" w:ascii="楷体" w:hAnsi="楷体" w:eastAsia="楷体" w:cs="仿宋_GB2312"/>
          <w:sz w:val="32"/>
          <w:szCs w:val="32"/>
        </w:rPr>
        <w:t>（六）发挥编译职能，积极收集及翻译本地民间谚语。</w:t>
      </w:r>
      <w:r>
        <w:rPr>
          <w:rFonts w:hint="eastAsia" w:ascii="仿宋" w:hAnsi="仿宋" w:eastAsia="仿宋" w:cs="仿宋_GB2312"/>
          <w:sz w:val="32"/>
          <w:szCs w:val="32"/>
        </w:rPr>
        <w:t>为继续充分发挥八宿独特的历史、文化、人文地理等方面的特殊资源，积极收集八宿本地民间谚语、部分村（居）故事、歌谣等。截至年底共收集200余条民间谚语、30多个村（局）故事和歌谣，已翻译成藏汉双语。</w:t>
      </w:r>
    </w:p>
    <w:p>
      <w:pPr>
        <w:spacing w:line="560" w:lineRule="exact"/>
        <w:ind w:firstLine="640" w:firstLineChars="200"/>
        <w:rPr>
          <w:rFonts w:ascii="仿宋" w:hAnsi="仿宋" w:eastAsia="仿宋" w:cs="仿宋_GB2312"/>
          <w:sz w:val="32"/>
          <w:szCs w:val="32"/>
        </w:rPr>
      </w:pPr>
      <w:r>
        <w:rPr>
          <w:rFonts w:hint="eastAsia" w:ascii="楷体" w:hAnsi="楷体" w:eastAsia="楷体" w:cs="仿宋"/>
          <w:sz w:val="32"/>
          <w:szCs w:val="32"/>
        </w:rPr>
        <w:t>(七)开展书法比赛</w:t>
      </w:r>
      <w:r>
        <w:rPr>
          <w:rFonts w:hint="eastAsia" w:ascii="仿宋" w:hAnsi="仿宋" w:eastAsia="仿宋" w:cs="仿宋"/>
          <w:sz w:val="32"/>
          <w:szCs w:val="32"/>
        </w:rPr>
        <w:t>，激发学生的练字兴趣。</w:t>
      </w:r>
      <w:r>
        <w:rPr>
          <w:rFonts w:hint="eastAsia" w:ascii="仿宋" w:hAnsi="仿宋" w:eastAsia="仿宋" w:cs="仿宋_GB2312"/>
          <w:sz w:val="32"/>
          <w:szCs w:val="32"/>
        </w:rPr>
        <w:t>为深入学习贯彻习近平新时代中国特色社会主义思想主题教育和习近平总书记关于民族工作的系列重要论述，落实新时代党的治藏方略，助力学校培养新时代中国特色社会主义建设者和接班人，培养我县小学生写作兴趣和能力，</w:t>
      </w:r>
      <w:r>
        <w:rPr>
          <w:rFonts w:hint="eastAsia" w:ascii="仿宋" w:hAnsi="仿宋" w:eastAsia="仿宋"/>
          <w:sz w:val="32"/>
          <w:szCs w:val="32"/>
        </w:rPr>
        <w:t>联合团县委、县教育局开展</w:t>
      </w:r>
      <w:r>
        <w:rPr>
          <w:rFonts w:hint="eastAsia" w:ascii="仿宋" w:hAnsi="仿宋" w:eastAsia="仿宋" w:cs="仿宋_GB2312"/>
          <w:sz w:val="32"/>
          <w:szCs w:val="32"/>
        </w:rPr>
        <w:t>开展“凝心铸魂扬国粹 民族团结我来书”主题藏汉书法活动，县二小50名学生参加活动，共发放书包、台灯等价值4500元的奖品。</w:t>
      </w:r>
    </w:p>
    <w:p>
      <w:pPr>
        <w:snapToGrid/>
        <w:spacing w:after="0" w:line="576" w:lineRule="exact"/>
        <w:ind w:firstLine="640" w:firstLineChars="200"/>
        <w:jc w:val="both"/>
        <w:rPr>
          <w:rFonts w:hint="eastAsia" w:ascii="仿宋" w:hAnsi="仿宋" w:eastAsia="仿宋" w:cs="仿宋_GB2312"/>
          <w:sz w:val="32"/>
          <w:szCs w:val="32"/>
        </w:rPr>
      </w:pPr>
      <w:r>
        <w:rPr>
          <w:rFonts w:hint="eastAsia" w:ascii="楷体" w:hAnsi="楷体" w:eastAsia="楷体" w:cs="仿宋_GB2312"/>
          <w:sz w:val="32"/>
          <w:szCs w:val="32"/>
        </w:rPr>
        <w:t>（八）积极推进“习近平新时代中国特色社会主义思想”主题教育。</w:t>
      </w:r>
      <w:r>
        <w:rPr>
          <w:rFonts w:hint="eastAsia" w:ascii="仿宋" w:hAnsi="仿宋" w:eastAsia="仿宋" w:cs="仿宋_GB2312"/>
          <w:sz w:val="32"/>
          <w:szCs w:val="32"/>
        </w:rPr>
        <w:t>县委、县府开展“习近平新时代中国特色社会主义思想”主题教育活动动员部署会以来，我局采取集中学习、个人自学的方式，认真学习 《党的二十大报告》《党章》《习近平新时代中国特色社会社会主义思想专题摘编》《习近平新时代中国特色社会社会主义思想学习纲要》等活动规定读本，先后参加支部集中学习18次，业余自学20人次，撰写主题教育交流发言稿3篇。</w:t>
      </w:r>
    </w:p>
    <w:p>
      <w:pPr>
        <w:snapToGrid w:val="0"/>
        <w:spacing w:line="520" w:lineRule="exact"/>
        <w:rPr>
          <w:rFonts w:ascii="黑体" w:hAnsi="黑体" w:eastAsia="黑体"/>
          <w:sz w:val="32"/>
          <w:szCs w:val="32"/>
        </w:rPr>
      </w:pPr>
      <w:r>
        <w:rPr>
          <w:rFonts w:hint="eastAsia" w:ascii="黑体" w:hAnsi="黑体" w:eastAsia="黑体"/>
          <w:sz w:val="32"/>
          <w:szCs w:val="32"/>
        </w:rPr>
        <w:t>二、收入支出预算执行情况分析</w:t>
      </w:r>
    </w:p>
    <w:bookmarkEnd w:id="1"/>
    <w:p>
      <w:pPr>
        <w:pStyle w:val="4"/>
        <w:spacing w:after="0" w:line="576" w:lineRule="exact"/>
        <w:ind w:left="0" w:leftChars="0" w:firstLine="0" w:firstLineChars="0"/>
        <w:jc w:val="left"/>
        <w:rPr>
          <w:rFonts w:hint="eastAsia" w:ascii="楷体_GB2312" w:hAnsi="仿宋" w:eastAsia="楷体_GB2312"/>
          <w:b/>
          <w:sz w:val="32"/>
          <w:szCs w:val="32"/>
        </w:rPr>
      </w:pPr>
      <w:r>
        <w:rPr>
          <w:rFonts w:hint="eastAsia" w:ascii="楷体_GB2312" w:hAnsi="仿宋" w:eastAsia="楷体_GB2312"/>
          <w:b/>
          <w:sz w:val="32"/>
          <w:szCs w:val="32"/>
        </w:rPr>
        <w:t>（一）收入支出预算安排情况。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lang w:eastAsia="zh-CN"/>
        </w:rPr>
        <w:t>表</w:t>
      </w:r>
      <w:r>
        <w:rPr>
          <w:rFonts w:hint="eastAsia" w:ascii="仿宋_GB2312" w:hAnsi="仿宋" w:eastAsia="仿宋_GB2312"/>
          <w:sz w:val="32"/>
          <w:szCs w:val="32"/>
          <w:lang w:val="en-US" w:eastAsia="zh-CN"/>
        </w:rPr>
        <w:t xml:space="preserve">1 </w:t>
      </w:r>
      <w:r>
        <w:rPr>
          <w:rFonts w:hint="eastAsia" w:ascii="仿宋_GB2312" w:hAnsi="仿宋" w:eastAsia="仿宋_GB2312"/>
          <w:sz w:val="32"/>
          <w:szCs w:val="32"/>
        </w:rPr>
        <w:t>收入、支出年初预算安排情况包括部门收入、支出年初预算安排情况，与上年对比情况及增减变动原因(可用柱形图或折线图)。</w:t>
      </w:r>
    </w:p>
    <w:tbl>
      <w:tblPr>
        <w:tblStyle w:val="6"/>
        <w:tblpPr w:leftFromText="180" w:rightFromText="180" w:vertAnchor="text" w:horzAnchor="page" w:tblpX="1907" w:tblpY="414"/>
        <w:tblOverlap w:val="never"/>
        <w:tblW w:w="8333" w:type="dxa"/>
        <w:tblInd w:w="0" w:type="dxa"/>
        <w:tblLayout w:type="fixed"/>
        <w:tblCellMar>
          <w:top w:w="0" w:type="dxa"/>
          <w:left w:w="0" w:type="dxa"/>
          <w:bottom w:w="0" w:type="dxa"/>
          <w:right w:w="0" w:type="dxa"/>
        </w:tblCellMar>
      </w:tblPr>
      <w:tblGrid>
        <w:gridCol w:w="1262"/>
        <w:gridCol w:w="1500"/>
        <w:gridCol w:w="1526"/>
        <w:gridCol w:w="1356"/>
        <w:gridCol w:w="1240"/>
        <w:gridCol w:w="1449"/>
      </w:tblGrid>
      <w:tr>
        <w:tblPrEx>
          <w:tblLayout w:type="fixed"/>
        </w:tblPrEx>
        <w:trPr>
          <w:trHeight w:val="300" w:hRule="atLeast"/>
        </w:trPr>
        <w:tc>
          <w:tcPr>
            <w:tcW w:w="1262" w:type="dxa"/>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pPr>
              <w:keepNext w:val="0"/>
              <w:keepLines w:val="0"/>
              <w:widowControl/>
              <w:suppressLineNumbers w:val="0"/>
              <w:spacing w:line="576" w:lineRule="exact"/>
              <w:jc w:val="center"/>
              <w:textAlignment w:val="center"/>
              <w:rPr>
                <w:rFonts w:hint="eastAsia" w:ascii="宋体" w:hAnsi="宋体" w:eastAsia="宋体" w:cs="宋体"/>
                <w:b/>
                <w:bCs/>
                <w:i w:val="0"/>
                <w:color w:val="000000"/>
                <w:sz w:val="24"/>
                <w:szCs w:val="24"/>
                <w:u w:val="none"/>
              </w:rPr>
            </w:pPr>
            <w:r>
              <w:rPr>
                <w:rFonts w:hint="eastAsia" w:ascii="宋体" w:hAnsi="宋体" w:eastAsia="宋体" w:cs="宋体"/>
                <w:b/>
                <w:bCs/>
                <w:i w:val="0"/>
                <w:color w:val="000000"/>
                <w:kern w:val="0"/>
                <w:sz w:val="24"/>
                <w:szCs w:val="24"/>
                <w:u w:val="none"/>
                <w:lang w:val="en-US" w:eastAsia="zh-CN" w:bidi="ar"/>
              </w:rPr>
              <w:t>项目</w:t>
            </w:r>
          </w:p>
        </w:tc>
        <w:tc>
          <w:tcPr>
            <w:tcW w:w="150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line="576" w:lineRule="exact"/>
              <w:jc w:val="center"/>
              <w:textAlignment w:val="center"/>
              <w:rPr>
                <w:rFonts w:hint="default" w:ascii="宋体" w:hAnsi="宋体" w:eastAsia="宋体" w:cs="宋体"/>
                <w:b/>
                <w:bCs/>
                <w:i w:val="0"/>
                <w:color w:val="000000"/>
                <w:sz w:val="24"/>
                <w:szCs w:val="24"/>
                <w:u w:val="none"/>
                <w:lang w:val="en-US"/>
              </w:rPr>
            </w:pPr>
            <w:r>
              <w:rPr>
                <w:rFonts w:hint="eastAsia" w:ascii="宋体" w:hAnsi="宋体" w:cs="宋体"/>
                <w:b/>
                <w:bCs/>
                <w:i w:val="0"/>
                <w:color w:val="000000"/>
                <w:kern w:val="0"/>
                <w:sz w:val="24"/>
                <w:szCs w:val="24"/>
                <w:u w:val="none"/>
                <w:lang w:val="en-US" w:eastAsia="zh-CN" w:bidi="ar"/>
              </w:rPr>
              <w:t>今年支出</w:t>
            </w:r>
          </w:p>
        </w:tc>
        <w:tc>
          <w:tcPr>
            <w:tcW w:w="152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line="576" w:lineRule="exact"/>
              <w:jc w:val="center"/>
              <w:textAlignment w:val="center"/>
              <w:rPr>
                <w:rFonts w:hint="eastAsia" w:ascii="宋体" w:hAnsi="宋体" w:eastAsia="宋体" w:cs="宋体"/>
                <w:b/>
                <w:bCs/>
                <w:i w:val="0"/>
                <w:color w:val="000000"/>
                <w:sz w:val="24"/>
                <w:szCs w:val="24"/>
                <w:u w:val="none"/>
              </w:rPr>
            </w:pPr>
            <w:r>
              <w:rPr>
                <w:rFonts w:hint="eastAsia" w:ascii="宋体" w:hAnsi="宋体" w:cs="宋体"/>
                <w:b/>
                <w:bCs/>
                <w:i w:val="0"/>
                <w:color w:val="000000"/>
                <w:kern w:val="0"/>
                <w:sz w:val="24"/>
                <w:szCs w:val="24"/>
                <w:u w:val="none"/>
                <w:lang w:val="en-US" w:eastAsia="zh-CN" w:bidi="ar"/>
              </w:rPr>
              <w:t>上年支出</w:t>
            </w:r>
          </w:p>
        </w:tc>
        <w:tc>
          <w:tcPr>
            <w:tcW w:w="13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line="576" w:lineRule="exact"/>
              <w:jc w:val="center"/>
              <w:textAlignment w:val="center"/>
              <w:rPr>
                <w:rFonts w:hint="default" w:ascii="宋体" w:hAnsi="宋体" w:eastAsia="宋体" w:cs="宋体"/>
                <w:b/>
                <w:bCs/>
                <w:i w:val="0"/>
                <w:color w:val="000000"/>
                <w:kern w:val="0"/>
                <w:sz w:val="24"/>
                <w:szCs w:val="24"/>
                <w:u w:val="none"/>
                <w:lang w:val="en-US" w:eastAsia="zh-CN" w:bidi="ar"/>
              </w:rPr>
            </w:pPr>
            <w:r>
              <w:rPr>
                <w:rFonts w:hint="eastAsia" w:ascii="宋体" w:hAnsi="宋体" w:cs="宋体"/>
                <w:b/>
                <w:bCs/>
                <w:i w:val="0"/>
                <w:color w:val="000000"/>
                <w:kern w:val="0"/>
                <w:sz w:val="24"/>
                <w:szCs w:val="24"/>
                <w:u w:val="none"/>
                <w:lang w:val="en-US" w:eastAsia="zh-CN" w:bidi="ar"/>
              </w:rPr>
              <w:t>增减</w:t>
            </w:r>
          </w:p>
        </w:tc>
        <w:tc>
          <w:tcPr>
            <w:tcW w:w="12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line="576" w:lineRule="exact"/>
              <w:jc w:val="center"/>
              <w:textAlignment w:val="center"/>
              <w:rPr>
                <w:rFonts w:hint="default" w:ascii="宋体" w:hAnsi="宋体" w:cs="宋体"/>
                <w:b/>
                <w:bCs/>
                <w:i w:val="0"/>
                <w:color w:val="000000"/>
                <w:kern w:val="0"/>
                <w:sz w:val="24"/>
                <w:szCs w:val="24"/>
                <w:u w:val="none"/>
                <w:lang w:val="en-US" w:eastAsia="zh-CN" w:bidi="ar"/>
              </w:rPr>
            </w:pPr>
            <w:r>
              <w:rPr>
                <w:rFonts w:hint="eastAsia" w:ascii="宋体" w:hAnsi="宋体" w:cs="宋体"/>
                <w:b/>
                <w:bCs/>
                <w:i w:val="0"/>
                <w:color w:val="000000"/>
                <w:kern w:val="0"/>
                <w:sz w:val="24"/>
                <w:szCs w:val="24"/>
                <w:u w:val="none"/>
                <w:lang w:val="en-US" w:eastAsia="zh-CN" w:bidi="ar"/>
              </w:rPr>
              <w:t>增减率</w:t>
            </w:r>
          </w:p>
        </w:tc>
        <w:tc>
          <w:tcPr>
            <w:tcW w:w="14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spacing w:line="576" w:lineRule="exact"/>
              <w:jc w:val="center"/>
              <w:textAlignment w:val="center"/>
              <w:rPr>
                <w:rFonts w:hint="default" w:ascii="宋体" w:hAnsi="宋体" w:cs="宋体"/>
                <w:b/>
                <w:bCs/>
                <w:i w:val="0"/>
                <w:color w:val="000000"/>
                <w:kern w:val="0"/>
                <w:sz w:val="24"/>
                <w:szCs w:val="24"/>
                <w:u w:val="none"/>
                <w:lang w:val="en-US" w:eastAsia="zh-CN" w:bidi="ar"/>
              </w:rPr>
            </w:pPr>
            <w:r>
              <w:rPr>
                <w:rFonts w:hint="eastAsia" w:ascii="宋体" w:hAnsi="宋体" w:cs="宋体"/>
                <w:b/>
                <w:bCs/>
                <w:i w:val="0"/>
                <w:color w:val="000000"/>
                <w:kern w:val="0"/>
                <w:sz w:val="24"/>
                <w:szCs w:val="24"/>
                <w:u w:val="none"/>
                <w:lang w:val="en-US" w:eastAsia="zh-CN" w:bidi="ar"/>
              </w:rPr>
              <w:t>变动原因</w:t>
            </w:r>
          </w:p>
        </w:tc>
      </w:tr>
      <w:tr>
        <w:tblPrEx>
          <w:tblLayout w:type="fixed"/>
          <w:tblCellMar>
            <w:top w:w="0" w:type="dxa"/>
            <w:left w:w="0" w:type="dxa"/>
            <w:bottom w:w="0" w:type="dxa"/>
            <w:right w:w="0" w:type="dxa"/>
          </w:tblCellMar>
        </w:tblPrEx>
        <w:trPr>
          <w:trHeight w:val="300" w:hRule="atLeast"/>
        </w:trPr>
        <w:tc>
          <w:tcPr>
            <w:tcW w:w="1262" w:type="dxa"/>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pPr>
              <w:keepNext w:val="0"/>
              <w:keepLines w:val="0"/>
              <w:widowControl/>
              <w:suppressLineNumbers w:val="0"/>
              <w:spacing w:line="576"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人员经费</w:t>
            </w:r>
          </w:p>
        </w:tc>
        <w:tc>
          <w:tcPr>
            <w:tcW w:w="150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eastAsia="zh-CN"/>
              </w:rPr>
            </w:pPr>
            <w:r>
              <w:rPr>
                <w:rFonts w:ascii="宋体" w:hAnsi="宋体" w:eastAsia="宋体" w:cs="宋体"/>
                <w:sz w:val="24"/>
                <w:szCs w:val="24"/>
              </w:rPr>
              <w:t>1041199.23</w:t>
            </w:r>
          </w:p>
        </w:tc>
        <w:tc>
          <w:tcPr>
            <w:tcW w:w="152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iCs w:val="0"/>
                <w:color w:val="FF0000"/>
                <w:kern w:val="0"/>
                <w:sz w:val="22"/>
                <w:szCs w:val="22"/>
                <w:u w:val="none"/>
                <w:lang w:val="en-US" w:eastAsia="zh-CN" w:bidi="ar"/>
              </w:rPr>
              <w:t>1,361,976.48</w:t>
            </w:r>
          </w:p>
        </w:tc>
        <w:tc>
          <w:tcPr>
            <w:tcW w:w="13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cs="宋体"/>
                <w:sz w:val="24"/>
                <w:szCs w:val="24"/>
                <w:lang w:val="en-US" w:eastAsia="zh-CN"/>
              </w:rPr>
            </w:pPr>
            <w:r>
              <w:rPr>
                <w:rFonts w:hint="eastAsia" w:ascii="宋体" w:hAnsi="宋体" w:eastAsia="宋体" w:cs="宋体"/>
                <w:i w:val="0"/>
                <w:iCs w:val="0"/>
                <w:color w:val="FF0000"/>
                <w:kern w:val="0"/>
                <w:sz w:val="22"/>
                <w:szCs w:val="22"/>
                <w:u w:val="none"/>
                <w:lang w:val="en-US" w:eastAsia="zh-CN" w:bidi="ar"/>
              </w:rPr>
              <w:t>-320,777.25</w:t>
            </w:r>
          </w:p>
        </w:tc>
        <w:tc>
          <w:tcPr>
            <w:tcW w:w="12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cs="宋体"/>
                <w:sz w:val="24"/>
                <w:szCs w:val="24"/>
                <w:lang w:val="en-US" w:eastAsia="zh-CN"/>
              </w:rPr>
            </w:pPr>
            <w:r>
              <w:rPr>
                <w:rFonts w:hint="eastAsia" w:ascii="宋体" w:hAnsi="宋体" w:eastAsia="宋体" w:cs="宋体"/>
                <w:i w:val="0"/>
                <w:iCs w:val="0"/>
                <w:color w:val="FF0000"/>
                <w:kern w:val="0"/>
                <w:sz w:val="22"/>
                <w:szCs w:val="22"/>
                <w:u w:val="none"/>
                <w:lang w:val="en-US" w:eastAsia="zh-CN" w:bidi="ar"/>
              </w:rPr>
              <w:t>-23.55</w:t>
            </w:r>
          </w:p>
        </w:tc>
        <w:tc>
          <w:tcPr>
            <w:tcW w:w="14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本年度干部职工人数减少</w:t>
            </w:r>
          </w:p>
        </w:tc>
      </w:tr>
      <w:tr>
        <w:tblPrEx>
          <w:tblLayout w:type="fixed"/>
          <w:tblCellMar>
            <w:top w:w="0" w:type="dxa"/>
            <w:left w:w="0" w:type="dxa"/>
            <w:bottom w:w="0" w:type="dxa"/>
            <w:right w:w="0" w:type="dxa"/>
          </w:tblCellMar>
        </w:tblPrEx>
        <w:trPr>
          <w:trHeight w:val="541" w:hRule="atLeast"/>
        </w:trPr>
        <w:tc>
          <w:tcPr>
            <w:tcW w:w="1262" w:type="dxa"/>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pPr>
              <w:keepNext w:val="0"/>
              <w:keepLines w:val="0"/>
              <w:widowControl/>
              <w:suppressLineNumbers w:val="0"/>
              <w:spacing w:line="576"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公用经费</w:t>
            </w:r>
          </w:p>
        </w:tc>
        <w:tc>
          <w:tcPr>
            <w:tcW w:w="150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ascii="宋体" w:hAnsi="宋体" w:eastAsia="宋体" w:cs="宋体"/>
                <w:sz w:val="24"/>
                <w:szCs w:val="24"/>
              </w:rPr>
              <w:t>36413.77</w:t>
            </w:r>
          </w:p>
        </w:tc>
        <w:tc>
          <w:tcPr>
            <w:tcW w:w="152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iCs w:val="0"/>
                <w:color w:val="FF0000"/>
                <w:kern w:val="0"/>
                <w:sz w:val="22"/>
                <w:szCs w:val="22"/>
                <w:u w:val="none"/>
                <w:lang w:val="en-US" w:eastAsia="zh-CN" w:bidi="ar"/>
              </w:rPr>
              <w:t>39,771.52</w:t>
            </w:r>
          </w:p>
        </w:tc>
        <w:tc>
          <w:tcPr>
            <w:tcW w:w="13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cs="宋体"/>
                <w:i w:val="0"/>
                <w:iCs w:val="0"/>
                <w:color w:val="00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-3,357.75</w:t>
            </w:r>
          </w:p>
        </w:tc>
        <w:tc>
          <w:tcPr>
            <w:tcW w:w="12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cs="宋体"/>
                <w:i w:val="0"/>
                <w:iCs w:val="0"/>
                <w:color w:val="00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-8.44</w:t>
            </w:r>
          </w:p>
        </w:tc>
        <w:tc>
          <w:tcPr>
            <w:tcW w:w="14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eastAsia="宋体" w:cs="宋体"/>
                <w:i w:val="0"/>
                <w:iCs w:val="0"/>
                <w:color w:val="FF0000"/>
                <w:kern w:val="0"/>
                <w:sz w:val="22"/>
                <w:szCs w:val="22"/>
                <w:u w:val="none"/>
                <w:lang w:val="en-US" w:eastAsia="zh-CN" w:bidi="ar"/>
              </w:rPr>
            </w:pPr>
          </w:p>
        </w:tc>
      </w:tr>
      <w:tr>
        <w:tblPrEx>
          <w:tblLayout w:type="fixed"/>
          <w:tblCellMar>
            <w:top w:w="0" w:type="dxa"/>
            <w:left w:w="0" w:type="dxa"/>
            <w:bottom w:w="0" w:type="dxa"/>
            <w:right w:w="0" w:type="dxa"/>
          </w:tblCellMar>
        </w:tblPrEx>
        <w:trPr>
          <w:trHeight w:val="606" w:hRule="atLeast"/>
        </w:trPr>
        <w:tc>
          <w:tcPr>
            <w:tcW w:w="1262" w:type="dxa"/>
            <w:tcBorders>
              <w:top w:val="single" w:color="000000" w:sz="8" w:space="0"/>
              <w:left w:val="single" w:color="000000" w:sz="8" w:space="0"/>
              <w:bottom w:val="single" w:color="000000" w:sz="8" w:space="0"/>
              <w:right w:val="single" w:color="auto" w:sz="4" w:space="0"/>
            </w:tcBorders>
            <w:tcMar>
              <w:top w:w="15" w:type="dxa"/>
              <w:left w:w="15" w:type="dxa"/>
              <w:right w:w="15" w:type="dxa"/>
            </w:tcMar>
            <w:vAlign w:val="center"/>
          </w:tcPr>
          <w:p>
            <w:pPr>
              <w:keepNext w:val="0"/>
              <w:keepLines w:val="0"/>
              <w:widowControl/>
              <w:suppressLineNumbers w:val="0"/>
              <w:spacing w:line="576"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150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eastAsia="zh-CN"/>
              </w:rPr>
            </w:pPr>
            <w:r>
              <w:rPr>
                <w:rFonts w:ascii="宋体" w:hAnsi="宋体" w:eastAsia="宋体" w:cs="宋体"/>
                <w:sz w:val="24"/>
                <w:szCs w:val="24"/>
              </w:rPr>
              <w:t>73,508.00</w:t>
            </w:r>
          </w:p>
        </w:tc>
        <w:tc>
          <w:tcPr>
            <w:tcW w:w="152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iCs w:val="0"/>
                <w:color w:val="FF0000"/>
                <w:kern w:val="0"/>
                <w:sz w:val="22"/>
                <w:szCs w:val="22"/>
                <w:u w:val="none"/>
                <w:lang w:val="en-US" w:eastAsia="zh-CN" w:bidi="ar"/>
              </w:rPr>
              <w:t>28,994.85</w:t>
            </w:r>
          </w:p>
        </w:tc>
        <w:tc>
          <w:tcPr>
            <w:tcW w:w="13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ascii="宋体" w:hAnsi="宋体" w:eastAsia="宋体" w:cs="宋体"/>
                <w:sz w:val="24"/>
                <w:szCs w:val="24"/>
              </w:rPr>
              <w:t>44,513.15</w:t>
            </w:r>
          </w:p>
        </w:tc>
        <w:tc>
          <w:tcPr>
            <w:tcW w:w="12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ascii="宋体" w:hAnsi="宋体" w:eastAsia="宋体" w:cs="宋体"/>
                <w:sz w:val="24"/>
                <w:szCs w:val="24"/>
              </w:rPr>
              <w:t>153.52</w:t>
            </w:r>
          </w:p>
        </w:tc>
        <w:tc>
          <w:tcPr>
            <w:tcW w:w="144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2"/>
                <w:szCs w:val="22"/>
                <w:u w:val="none"/>
                <w:lang w:val="en-US" w:eastAsia="zh-CN" w:bidi="ar"/>
              </w:rPr>
            </w:pPr>
            <w:r>
              <w:rPr>
                <w:rFonts w:hint="eastAsia" w:ascii="宋体" w:hAnsi="宋体" w:eastAsia="宋体" w:cs="宋体"/>
                <w:i w:val="0"/>
                <w:iCs w:val="0"/>
                <w:color w:val="FF0000"/>
                <w:kern w:val="0"/>
                <w:sz w:val="22"/>
                <w:szCs w:val="22"/>
                <w:u w:val="none"/>
                <w:lang w:val="en-US" w:eastAsia="zh-CN" w:bidi="ar"/>
              </w:rPr>
              <w:t>藏语言文字工作经费支出增加</w:t>
            </w:r>
          </w:p>
        </w:tc>
      </w:tr>
    </w:tbl>
    <w:p>
      <w:pPr>
        <w:pStyle w:val="2"/>
        <w:ind w:left="0" w:leftChars="0" w:firstLine="0" w:firstLineChars="0"/>
        <w:rPr>
          <w:rFonts w:ascii="楷体_GB2312" w:hAnsi="仿宋" w:eastAsia="楷体_GB2312"/>
          <w:b/>
          <w:sz w:val="32"/>
          <w:szCs w:val="32"/>
        </w:rPr>
      </w:pPr>
      <w:r>
        <w:drawing>
          <wp:inline distT="0" distB="0" distL="114300" distR="114300">
            <wp:extent cx="5191760" cy="2678430"/>
            <wp:effectExtent l="0" t="0" r="8890" b="762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snapToGrid w:val="0"/>
        <w:spacing w:line="520" w:lineRule="exact"/>
        <w:rPr>
          <w:rFonts w:ascii="楷体_GB2312" w:hAnsi="仿宋" w:eastAsia="楷体_GB2312"/>
          <w:b/>
          <w:sz w:val="32"/>
          <w:szCs w:val="32"/>
        </w:rPr>
      </w:pPr>
    </w:p>
    <w:p>
      <w:pPr>
        <w:snapToGrid w:val="0"/>
        <w:spacing w:line="520" w:lineRule="exact"/>
        <w:rPr>
          <w:rFonts w:hint="eastAsia" w:ascii="楷体_GB2312" w:hAnsi="仿宋" w:eastAsia="楷体_GB2312"/>
          <w:b/>
          <w:sz w:val="32"/>
          <w:szCs w:val="32"/>
        </w:rPr>
      </w:pPr>
      <w:r>
        <w:rPr>
          <w:rFonts w:hint="eastAsia" w:ascii="仿宋_GB2312" w:hAnsi="仿宋" w:eastAsia="仿宋_GB2312"/>
          <w:sz w:val="32"/>
          <w:szCs w:val="32"/>
          <w:lang w:eastAsia="zh-CN"/>
        </w:rPr>
        <w:t>表</w:t>
      </w:r>
      <w:r>
        <w:rPr>
          <w:rFonts w:hint="eastAsia" w:ascii="仿宋_GB2312" w:hAnsi="仿宋" w:eastAsia="仿宋_GB2312"/>
          <w:sz w:val="32"/>
          <w:szCs w:val="32"/>
          <w:lang w:val="en-US" w:eastAsia="zh-CN"/>
        </w:rPr>
        <w:t xml:space="preserve">2     </w:t>
      </w:r>
      <w:r>
        <w:rPr>
          <w:rFonts w:hint="eastAsia" w:ascii="仿宋_GB2312" w:hAnsi="仿宋" w:eastAsia="仿宋_GB2312"/>
          <w:sz w:val="32"/>
          <w:szCs w:val="32"/>
        </w:rPr>
        <w:t>上年对比情况及增减变动原因</w:t>
      </w:r>
    </w:p>
    <w:tbl>
      <w:tblPr>
        <w:tblStyle w:val="6"/>
        <w:tblW w:w="8685" w:type="dxa"/>
        <w:tblInd w:w="0" w:type="dxa"/>
        <w:tblLayout w:type="fixed"/>
        <w:tblCellMar>
          <w:top w:w="0" w:type="dxa"/>
          <w:left w:w="0" w:type="dxa"/>
          <w:bottom w:w="0" w:type="dxa"/>
          <w:right w:w="0" w:type="dxa"/>
        </w:tblCellMar>
      </w:tblPr>
      <w:tblGrid>
        <w:gridCol w:w="2055"/>
        <w:gridCol w:w="1785"/>
        <w:gridCol w:w="1785"/>
        <w:gridCol w:w="1545"/>
        <w:gridCol w:w="1515"/>
      </w:tblGrid>
      <w:tr>
        <w:tblPrEx>
          <w:tblLayout w:type="fixed"/>
          <w:tblCellMar>
            <w:top w:w="0" w:type="dxa"/>
            <w:left w:w="0" w:type="dxa"/>
            <w:bottom w:w="0" w:type="dxa"/>
            <w:right w:w="0" w:type="dxa"/>
          </w:tblCellMar>
        </w:tblPrEx>
        <w:trPr>
          <w:trHeight w:val="285" w:hRule="atLeast"/>
        </w:trPr>
        <w:tc>
          <w:tcPr>
            <w:tcW w:w="20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本年</w:t>
            </w:r>
            <w:r>
              <w:rPr>
                <w:rFonts w:hint="eastAsia" w:ascii="宋体" w:hAnsi="宋体" w:cs="宋体"/>
                <w:i w:val="0"/>
                <w:color w:val="000000"/>
                <w:kern w:val="0"/>
                <w:sz w:val="24"/>
                <w:szCs w:val="24"/>
                <w:u w:val="none"/>
                <w:lang w:val="en-US" w:eastAsia="zh-CN" w:bidi="ar"/>
              </w:rPr>
              <w:t>收入</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上年</w:t>
            </w:r>
            <w:r>
              <w:rPr>
                <w:rFonts w:hint="eastAsia" w:ascii="宋体" w:hAnsi="宋体" w:cs="宋体"/>
                <w:i w:val="0"/>
                <w:color w:val="000000"/>
                <w:kern w:val="0"/>
                <w:sz w:val="24"/>
                <w:szCs w:val="24"/>
                <w:u w:val="none"/>
                <w:lang w:val="en-US" w:eastAsia="zh-CN" w:bidi="ar"/>
              </w:rPr>
              <w:t>收入</w:t>
            </w:r>
          </w:p>
        </w:tc>
        <w:tc>
          <w:tcPr>
            <w:tcW w:w="15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增减度</w:t>
            </w:r>
          </w:p>
        </w:tc>
        <w:tc>
          <w:tcPr>
            <w:tcW w:w="15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原因</w:t>
            </w:r>
          </w:p>
        </w:tc>
      </w:tr>
      <w:tr>
        <w:tblPrEx>
          <w:tblLayout w:type="fixed"/>
          <w:tblCellMar>
            <w:top w:w="0" w:type="dxa"/>
            <w:left w:w="0" w:type="dxa"/>
            <w:bottom w:w="0" w:type="dxa"/>
            <w:right w:w="0" w:type="dxa"/>
          </w:tblCellMar>
        </w:tblPrEx>
        <w:trPr>
          <w:trHeight w:val="285" w:hRule="atLeast"/>
        </w:trPr>
        <w:tc>
          <w:tcPr>
            <w:tcW w:w="20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人员经费</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2"/>
                <w:sz w:val="24"/>
                <w:szCs w:val="24"/>
                <w:u w:val="none"/>
                <w:lang w:val="en-US" w:eastAsia="zh-CN" w:bidi="ar-SA"/>
              </w:rPr>
            </w:pPr>
            <w:r>
              <w:rPr>
                <w:rFonts w:ascii="宋体" w:hAnsi="宋体" w:eastAsia="宋体" w:cs="宋体"/>
                <w:sz w:val="24"/>
                <w:szCs w:val="24"/>
              </w:rPr>
              <w:t>1041199.23</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FF0000"/>
                <w:kern w:val="0"/>
                <w:sz w:val="22"/>
                <w:szCs w:val="22"/>
                <w:u w:val="none"/>
                <w:lang w:val="en-US" w:eastAsia="zh-CN" w:bidi="ar"/>
              </w:rPr>
              <w:t>1,361,976.48</w:t>
            </w:r>
          </w:p>
        </w:tc>
        <w:tc>
          <w:tcPr>
            <w:tcW w:w="15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FF0000"/>
                <w:kern w:val="0"/>
                <w:sz w:val="22"/>
                <w:szCs w:val="22"/>
                <w:u w:val="none"/>
                <w:lang w:val="en-US" w:eastAsia="zh-CN" w:bidi="ar"/>
              </w:rPr>
              <w:t>-320,777.25</w:t>
            </w:r>
          </w:p>
        </w:tc>
        <w:tc>
          <w:tcPr>
            <w:tcW w:w="15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eastAsia="zh-CN"/>
              </w:rPr>
              <w:t>活动</w:t>
            </w:r>
            <w:r>
              <w:rPr>
                <w:rFonts w:hint="eastAsia" w:ascii="宋体" w:hAnsi="宋体" w:eastAsia="宋体" w:cs="宋体"/>
                <w:i w:val="0"/>
                <w:color w:val="000000"/>
                <w:sz w:val="24"/>
                <w:szCs w:val="24"/>
                <w:u w:val="none"/>
                <w:lang w:val="en-US" w:eastAsia="zh-CN"/>
              </w:rPr>
              <w:t>减少</w:t>
            </w:r>
          </w:p>
        </w:tc>
      </w:tr>
      <w:tr>
        <w:tblPrEx>
          <w:tblLayout w:type="fixed"/>
          <w:tblCellMar>
            <w:top w:w="0" w:type="dxa"/>
            <w:left w:w="0" w:type="dxa"/>
            <w:bottom w:w="0" w:type="dxa"/>
            <w:right w:w="0" w:type="dxa"/>
          </w:tblCellMar>
        </w:tblPrEx>
        <w:trPr>
          <w:trHeight w:val="285" w:hRule="atLeast"/>
        </w:trPr>
        <w:tc>
          <w:tcPr>
            <w:tcW w:w="20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公用经费</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ascii="宋体" w:hAnsi="宋体" w:eastAsia="宋体" w:cs="宋体"/>
                <w:sz w:val="24"/>
                <w:szCs w:val="24"/>
              </w:rPr>
              <w:t>36413.77</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iCs w:val="0"/>
                <w:color w:val="FF0000"/>
                <w:kern w:val="0"/>
                <w:sz w:val="22"/>
                <w:szCs w:val="22"/>
                <w:u w:val="none"/>
                <w:lang w:val="en-US" w:eastAsia="zh-CN" w:bidi="ar"/>
              </w:rPr>
              <w:t>39,771.52</w:t>
            </w:r>
          </w:p>
        </w:tc>
        <w:tc>
          <w:tcPr>
            <w:tcW w:w="15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FF0000"/>
                <w:kern w:val="0"/>
                <w:sz w:val="22"/>
                <w:szCs w:val="22"/>
                <w:u w:val="none"/>
                <w:lang w:val="en-US" w:eastAsia="zh-CN" w:bidi="ar"/>
              </w:rPr>
              <w:t>-3,357.75</w:t>
            </w:r>
          </w:p>
        </w:tc>
        <w:tc>
          <w:tcPr>
            <w:tcW w:w="15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活动减少</w:t>
            </w:r>
          </w:p>
        </w:tc>
      </w:tr>
      <w:tr>
        <w:tblPrEx>
          <w:tblLayout w:type="fixed"/>
          <w:tblCellMar>
            <w:top w:w="0" w:type="dxa"/>
            <w:left w:w="0" w:type="dxa"/>
            <w:bottom w:w="0" w:type="dxa"/>
            <w:right w:w="0" w:type="dxa"/>
          </w:tblCellMar>
        </w:tblPrEx>
        <w:trPr>
          <w:trHeight w:val="285" w:hRule="atLeast"/>
        </w:trPr>
        <w:tc>
          <w:tcPr>
            <w:tcW w:w="20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ascii="宋体" w:hAnsi="宋体" w:eastAsia="宋体" w:cs="宋体"/>
                <w:sz w:val="24"/>
                <w:szCs w:val="24"/>
              </w:rPr>
              <w:t>73,508.00</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iCs w:val="0"/>
                <w:color w:val="FF0000"/>
                <w:kern w:val="0"/>
                <w:sz w:val="22"/>
                <w:szCs w:val="22"/>
                <w:u w:val="none"/>
                <w:lang w:val="en-US" w:eastAsia="zh-CN" w:bidi="ar"/>
              </w:rPr>
              <w:t>28,994.85</w:t>
            </w:r>
          </w:p>
        </w:tc>
        <w:tc>
          <w:tcPr>
            <w:tcW w:w="15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ascii="宋体" w:hAnsi="宋体" w:eastAsia="宋体" w:cs="宋体"/>
                <w:sz w:val="24"/>
                <w:szCs w:val="24"/>
              </w:rPr>
              <w:t>44,513.15</w:t>
            </w:r>
          </w:p>
        </w:tc>
        <w:tc>
          <w:tcPr>
            <w:tcW w:w="15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活动增加</w:t>
            </w:r>
          </w:p>
        </w:tc>
      </w:tr>
    </w:tbl>
    <w:p>
      <w:pPr>
        <w:numPr>
          <w:ilvl w:val="0"/>
          <w:numId w:val="0"/>
        </w:numPr>
        <w:snapToGrid w:val="0"/>
        <w:spacing w:line="520" w:lineRule="exact"/>
        <w:rPr>
          <w:rFonts w:hint="eastAsia" w:ascii="楷体_GB2312" w:hAnsi="仿宋" w:eastAsia="楷体_GB2312"/>
          <w:b/>
          <w:sz w:val="32"/>
          <w:szCs w:val="32"/>
        </w:rPr>
      </w:pPr>
      <w:r>
        <w:rPr>
          <w:rFonts w:hint="eastAsia" w:ascii="楷体_GB2312" w:hAnsi="仿宋" w:eastAsia="楷体_GB2312"/>
          <w:b/>
          <w:sz w:val="32"/>
          <w:szCs w:val="32"/>
          <w:lang w:eastAsia="zh-CN"/>
        </w:rPr>
        <w:t>（二）</w:t>
      </w:r>
      <w:r>
        <w:rPr>
          <w:rFonts w:hint="eastAsia" w:ascii="楷体_GB2312" w:hAnsi="仿宋" w:eastAsia="楷体_GB2312"/>
          <w:b/>
          <w:sz w:val="32"/>
          <w:szCs w:val="32"/>
        </w:rPr>
        <w:t>收入支出预算执行情况。</w:t>
      </w:r>
    </w:p>
    <w:p>
      <w:pPr>
        <w:snapToGrid w:val="0"/>
        <w:spacing w:line="576" w:lineRule="exact"/>
        <w:ind w:firstLine="0" w:firstLineChars="0"/>
        <w:jc w:val="center"/>
        <w:rPr>
          <w:rFonts w:hint="eastAsia" w:ascii="仿宋_GB2312" w:hAnsi="仿宋" w:eastAsia="仿宋_GB2312"/>
          <w:sz w:val="32"/>
          <w:szCs w:val="32"/>
        </w:rPr>
      </w:pPr>
      <w:r>
        <w:rPr>
          <w:rFonts w:hint="eastAsia" w:ascii="仿宋_GB2312" w:hAnsi="仿宋" w:eastAsia="仿宋_GB2312"/>
          <w:sz w:val="32"/>
          <w:szCs w:val="32"/>
          <w:lang w:eastAsia="zh-CN"/>
        </w:rPr>
        <w:t>表</w:t>
      </w:r>
      <w:r>
        <w:rPr>
          <w:rFonts w:hint="eastAsia" w:ascii="仿宋_GB2312" w:hAnsi="仿宋" w:eastAsia="仿宋_GB2312"/>
          <w:sz w:val="32"/>
          <w:szCs w:val="32"/>
          <w:lang w:val="en-US" w:eastAsia="zh-CN"/>
        </w:rPr>
        <w:t xml:space="preserve">1    </w:t>
      </w:r>
      <w:r>
        <w:rPr>
          <w:rFonts w:hint="eastAsia" w:ascii="仿宋_GB2312" w:hAnsi="仿宋" w:eastAsia="仿宋_GB2312"/>
          <w:sz w:val="32"/>
          <w:szCs w:val="32"/>
        </w:rPr>
        <w:t>预、决算差异情况</w:t>
      </w:r>
    </w:p>
    <w:tbl>
      <w:tblPr>
        <w:tblStyle w:val="6"/>
        <w:tblW w:w="8685" w:type="dxa"/>
        <w:tblInd w:w="0" w:type="dxa"/>
        <w:tblLayout w:type="fixed"/>
        <w:tblCellMar>
          <w:top w:w="0" w:type="dxa"/>
          <w:left w:w="0" w:type="dxa"/>
          <w:bottom w:w="0" w:type="dxa"/>
          <w:right w:w="0" w:type="dxa"/>
        </w:tblCellMar>
      </w:tblPr>
      <w:tblGrid>
        <w:gridCol w:w="2056"/>
        <w:gridCol w:w="1784"/>
        <w:gridCol w:w="1785"/>
        <w:gridCol w:w="1545"/>
        <w:gridCol w:w="1515"/>
      </w:tblGrid>
      <w:tr>
        <w:tblPrEx>
          <w:tblLayout w:type="fixed"/>
          <w:tblCellMar>
            <w:top w:w="0" w:type="dxa"/>
            <w:left w:w="0" w:type="dxa"/>
            <w:bottom w:w="0" w:type="dxa"/>
            <w:right w:w="0" w:type="dxa"/>
          </w:tblCellMar>
        </w:tblPrEx>
        <w:trPr>
          <w:trHeight w:val="300" w:hRule="atLeast"/>
        </w:trPr>
        <w:tc>
          <w:tcPr>
            <w:tcW w:w="2056"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1784"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年初预算数</w:t>
            </w:r>
          </w:p>
        </w:tc>
        <w:tc>
          <w:tcPr>
            <w:tcW w:w="1785"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决算数</w:t>
            </w:r>
          </w:p>
        </w:tc>
        <w:tc>
          <w:tcPr>
            <w:tcW w:w="1545"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增减额度</w:t>
            </w:r>
          </w:p>
        </w:tc>
        <w:tc>
          <w:tcPr>
            <w:tcW w:w="1515"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增长率%</w:t>
            </w:r>
          </w:p>
        </w:tc>
      </w:tr>
      <w:tr>
        <w:tblPrEx>
          <w:tblLayout w:type="fixed"/>
          <w:tblCellMar>
            <w:top w:w="0" w:type="dxa"/>
            <w:left w:w="0" w:type="dxa"/>
            <w:bottom w:w="0" w:type="dxa"/>
            <w:right w:w="0" w:type="dxa"/>
          </w:tblCellMar>
        </w:tblPrEx>
        <w:trPr>
          <w:trHeight w:val="300" w:hRule="atLeast"/>
        </w:trPr>
        <w:tc>
          <w:tcPr>
            <w:tcW w:w="2056"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bookmarkStart w:id="2" w:name="OLE_LINK1" w:colFirst="1" w:colLast="2"/>
            <w:r>
              <w:rPr>
                <w:rFonts w:hint="eastAsia" w:ascii="宋体" w:hAnsi="宋体" w:eastAsia="宋体" w:cs="宋体"/>
                <w:i w:val="0"/>
                <w:color w:val="000000"/>
                <w:kern w:val="0"/>
                <w:sz w:val="24"/>
                <w:szCs w:val="24"/>
                <w:u w:val="none"/>
                <w:lang w:val="en-US" w:eastAsia="zh-CN" w:bidi="ar"/>
              </w:rPr>
              <w:t>一般公共服务支出</w:t>
            </w:r>
          </w:p>
        </w:tc>
        <w:tc>
          <w:tcPr>
            <w:tcW w:w="1784"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ascii="宋体" w:hAnsi="宋体" w:eastAsia="宋体" w:cs="宋体"/>
                <w:sz w:val="24"/>
                <w:szCs w:val="24"/>
              </w:rPr>
              <w:t>1,729,205.00</w:t>
            </w:r>
          </w:p>
        </w:tc>
        <w:tc>
          <w:tcPr>
            <w:tcW w:w="178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ascii="宋体" w:hAnsi="宋体" w:eastAsia="宋体" w:cs="宋体"/>
                <w:sz w:val="24"/>
                <w:szCs w:val="24"/>
              </w:rPr>
              <w:t>1,151,121.00</w:t>
            </w:r>
          </w:p>
        </w:tc>
        <w:tc>
          <w:tcPr>
            <w:tcW w:w="1545"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2"/>
                <w:sz w:val="22"/>
                <w:szCs w:val="22"/>
                <w:u w:val="none"/>
                <w:lang w:val="en-US" w:eastAsia="zh-CN" w:bidi="ar-SA"/>
              </w:rPr>
              <w:t>578084</w:t>
            </w:r>
          </w:p>
        </w:tc>
        <w:tc>
          <w:tcPr>
            <w:tcW w:w="1515"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0"/>
                <w:sz w:val="22"/>
                <w:szCs w:val="22"/>
                <w:u w:val="none"/>
                <w:lang w:val="en-US" w:eastAsia="zh-CN" w:bidi="ar"/>
              </w:rPr>
              <w:t>50.22%</w:t>
            </w:r>
          </w:p>
        </w:tc>
      </w:tr>
      <w:bookmarkEnd w:id="2"/>
    </w:tbl>
    <w:p>
      <w:pPr>
        <w:snapToGrid w:val="0"/>
        <w:spacing w:line="576" w:lineRule="exact"/>
        <w:ind w:firstLine="0" w:firstLineChars="0"/>
        <w:jc w:val="center"/>
        <w:rPr>
          <w:rFonts w:hint="eastAsia" w:ascii="仿宋_GB2312" w:hAnsi="仿宋" w:eastAsia="仿宋_GB2312"/>
          <w:sz w:val="32"/>
          <w:szCs w:val="32"/>
        </w:rPr>
      </w:pPr>
      <w:r>
        <w:rPr>
          <w:rFonts w:hint="eastAsia" w:ascii="仿宋_GB2312" w:hAnsi="仿宋" w:eastAsia="仿宋_GB2312"/>
          <w:sz w:val="32"/>
          <w:szCs w:val="32"/>
          <w:lang w:val="en-US" w:eastAsia="zh-CN"/>
        </w:rPr>
        <w:t xml:space="preserve">表2   </w:t>
      </w:r>
      <w:r>
        <w:rPr>
          <w:rFonts w:hint="eastAsia" w:ascii="仿宋_GB2312" w:hAnsi="仿宋" w:eastAsia="仿宋_GB2312"/>
          <w:sz w:val="32"/>
          <w:szCs w:val="32"/>
        </w:rPr>
        <w:t>收入支出功能科目</w:t>
      </w:r>
    </w:p>
    <w:tbl>
      <w:tblPr>
        <w:tblStyle w:val="6"/>
        <w:tblW w:w="8685" w:type="dxa"/>
        <w:tblInd w:w="0" w:type="dxa"/>
        <w:tblLayout w:type="fixed"/>
        <w:tblCellMar>
          <w:top w:w="0" w:type="dxa"/>
          <w:left w:w="0" w:type="dxa"/>
          <w:bottom w:w="0" w:type="dxa"/>
          <w:right w:w="0" w:type="dxa"/>
        </w:tblCellMar>
      </w:tblPr>
      <w:tblGrid>
        <w:gridCol w:w="2055"/>
        <w:gridCol w:w="1785"/>
        <w:gridCol w:w="1785"/>
        <w:gridCol w:w="1545"/>
        <w:gridCol w:w="1515"/>
      </w:tblGrid>
      <w:tr>
        <w:tblPrEx>
          <w:tblLayout w:type="fixed"/>
          <w:tblCellMar>
            <w:top w:w="0" w:type="dxa"/>
            <w:left w:w="0" w:type="dxa"/>
            <w:bottom w:w="0" w:type="dxa"/>
            <w:right w:w="0" w:type="dxa"/>
          </w:tblCellMar>
        </w:tblPrEx>
        <w:trPr>
          <w:trHeight w:val="300" w:hRule="atLeast"/>
        </w:trPr>
        <w:tc>
          <w:tcPr>
            <w:tcW w:w="205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1785"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1785"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1545"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增减额度</w:t>
            </w:r>
          </w:p>
        </w:tc>
        <w:tc>
          <w:tcPr>
            <w:tcW w:w="1515"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增长率%</w:t>
            </w:r>
          </w:p>
        </w:tc>
      </w:tr>
      <w:tr>
        <w:tblPrEx>
          <w:tblLayout w:type="fixed"/>
          <w:tblCellMar>
            <w:top w:w="0" w:type="dxa"/>
            <w:left w:w="0" w:type="dxa"/>
            <w:bottom w:w="0" w:type="dxa"/>
            <w:right w:w="0" w:type="dxa"/>
          </w:tblCellMar>
        </w:tblPrEx>
        <w:trPr>
          <w:trHeight w:val="300" w:hRule="atLeast"/>
        </w:trPr>
        <w:tc>
          <w:tcPr>
            <w:tcW w:w="2055"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一般公共服务支出</w:t>
            </w:r>
          </w:p>
        </w:tc>
        <w:tc>
          <w:tcPr>
            <w:tcW w:w="178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ascii="宋体" w:hAnsi="宋体" w:eastAsia="宋体" w:cs="宋体"/>
                <w:sz w:val="24"/>
                <w:szCs w:val="24"/>
              </w:rPr>
              <w:t>1,729,205.00</w:t>
            </w:r>
          </w:p>
        </w:tc>
        <w:tc>
          <w:tcPr>
            <w:tcW w:w="178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ascii="宋体" w:hAnsi="宋体" w:eastAsia="宋体" w:cs="宋体"/>
                <w:sz w:val="24"/>
                <w:szCs w:val="24"/>
              </w:rPr>
              <w:t>1,151,121.00</w:t>
            </w:r>
          </w:p>
        </w:tc>
        <w:tc>
          <w:tcPr>
            <w:tcW w:w="1545"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cs="宋体"/>
                <w:i w:val="0"/>
                <w:iCs w:val="0"/>
                <w:color w:val="000000"/>
                <w:kern w:val="2"/>
                <w:sz w:val="22"/>
                <w:szCs w:val="22"/>
                <w:u w:val="none"/>
                <w:lang w:val="en-US" w:eastAsia="zh-CN" w:bidi="ar-SA"/>
              </w:rPr>
              <w:t>578084</w:t>
            </w:r>
          </w:p>
        </w:tc>
        <w:tc>
          <w:tcPr>
            <w:tcW w:w="1515" w:type="dxa"/>
            <w:tcBorders>
              <w:top w:val="nil"/>
              <w:left w:val="nil"/>
              <w:bottom w:val="single" w:color="000000" w:sz="8" w:space="0"/>
              <w:right w:val="single" w:color="000000" w:sz="8"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cs="宋体"/>
                <w:i w:val="0"/>
                <w:iCs w:val="0"/>
                <w:color w:val="000000"/>
                <w:kern w:val="0"/>
                <w:sz w:val="22"/>
                <w:szCs w:val="22"/>
                <w:u w:val="none"/>
                <w:lang w:val="en-US" w:eastAsia="zh-CN" w:bidi="ar"/>
              </w:rPr>
              <w:t>50.22%</w:t>
            </w:r>
          </w:p>
        </w:tc>
      </w:tr>
    </w:tbl>
    <w:p>
      <w:pPr>
        <w:snapToGrid w:val="0"/>
        <w:spacing w:line="576" w:lineRule="exact"/>
        <w:ind w:firstLine="0" w:firstLineChars="0"/>
        <w:jc w:val="center"/>
        <w:rPr>
          <w:rFonts w:hint="eastAsia" w:ascii="仿宋_GB2312" w:hAnsi="仿宋" w:eastAsia="仿宋_GB2312"/>
          <w:sz w:val="32"/>
          <w:szCs w:val="32"/>
        </w:rPr>
      </w:pPr>
      <w:r>
        <w:rPr>
          <w:rFonts w:hint="eastAsia" w:ascii="仿宋_GB2312" w:hAnsi="仿宋" w:eastAsia="仿宋_GB2312"/>
          <w:sz w:val="32"/>
          <w:szCs w:val="32"/>
          <w:lang w:val="en-US" w:eastAsia="zh-CN"/>
        </w:rPr>
        <w:t xml:space="preserve">表3   </w:t>
      </w:r>
      <w:r>
        <w:rPr>
          <w:rFonts w:hint="eastAsia" w:ascii="仿宋_GB2312" w:hAnsi="仿宋" w:eastAsia="仿宋_GB2312"/>
          <w:sz w:val="32"/>
          <w:szCs w:val="32"/>
        </w:rPr>
        <w:t>收入支出项目逐项对比</w:t>
      </w:r>
    </w:p>
    <w:tbl>
      <w:tblPr>
        <w:tblStyle w:val="6"/>
        <w:tblW w:w="8287" w:type="dxa"/>
        <w:jc w:val="center"/>
        <w:tblInd w:w="0" w:type="dxa"/>
        <w:tblLayout w:type="fixed"/>
        <w:tblCellMar>
          <w:top w:w="0" w:type="dxa"/>
          <w:left w:w="0" w:type="dxa"/>
          <w:bottom w:w="0" w:type="dxa"/>
          <w:right w:w="0" w:type="dxa"/>
        </w:tblCellMar>
      </w:tblPr>
      <w:tblGrid>
        <w:gridCol w:w="2197"/>
        <w:gridCol w:w="1785"/>
        <w:gridCol w:w="1785"/>
        <w:gridCol w:w="2520"/>
      </w:tblGrid>
      <w:tr>
        <w:tblPrEx>
          <w:tblLayout w:type="fixed"/>
          <w:tblCellMar>
            <w:top w:w="0" w:type="dxa"/>
            <w:left w:w="0" w:type="dxa"/>
            <w:bottom w:w="0" w:type="dxa"/>
            <w:right w:w="0" w:type="dxa"/>
          </w:tblCellMar>
        </w:tblPrEx>
        <w:trPr>
          <w:trHeight w:val="285" w:hRule="atLeast"/>
          <w:jc w:val="center"/>
        </w:trPr>
        <w:tc>
          <w:tcPr>
            <w:tcW w:w="21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5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差异</w:t>
            </w:r>
          </w:p>
        </w:tc>
      </w:tr>
      <w:tr>
        <w:tblPrEx>
          <w:tblLayout w:type="fixed"/>
          <w:tblCellMar>
            <w:top w:w="0" w:type="dxa"/>
            <w:left w:w="0" w:type="dxa"/>
            <w:bottom w:w="0" w:type="dxa"/>
            <w:right w:w="0" w:type="dxa"/>
          </w:tblCellMar>
        </w:tblPrEx>
        <w:trPr>
          <w:trHeight w:val="285" w:hRule="atLeast"/>
          <w:jc w:val="center"/>
        </w:trPr>
        <w:tc>
          <w:tcPr>
            <w:tcW w:w="21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人员经费</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ascii="宋体" w:hAnsi="宋体" w:eastAsia="宋体" w:cs="宋体"/>
                <w:sz w:val="24"/>
                <w:szCs w:val="24"/>
              </w:rPr>
              <w:t>1041199.23</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FF0000"/>
                <w:kern w:val="0"/>
                <w:sz w:val="22"/>
                <w:szCs w:val="22"/>
                <w:u w:val="none"/>
                <w:lang w:val="en-US" w:eastAsia="zh-CN" w:bidi="ar"/>
              </w:rPr>
              <w:t>1,361,976.48</w:t>
            </w:r>
          </w:p>
        </w:tc>
        <w:tc>
          <w:tcPr>
            <w:tcW w:w="25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iCs w:val="0"/>
                <w:color w:val="FF0000"/>
                <w:kern w:val="0"/>
                <w:sz w:val="22"/>
                <w:szCs w:val="22"/>
                <w:u w:val="none"/>
                <w:lang w:val="en-US" w:eastAsia="zh-CN" w:bidi="ar"/>
              </w:rPr>
              <w:t>-320,777.25</w:t>
            </w:r>
          </w:p>
        </w:tc>
      </w:tr>
      <w:tr>
        <w:tblPrEx>
          <w:tblLayout w:type="fixed"/>
          <w:tblCellMar>
            <w:top w:w="0" w:type="dxa"/>
            <w:left w:w="0" w:type="dxa"/>
            <w:bottom w:w="0" w:type="dxa"/>
            <w:right w:w="0" w:type="dxa"/>
          </w:tblCellMar>
        </w:tblPrEx>
        <w:trPr>
          <w:trHeight w:val="285" w:hRule="atLeast"/>
          <w:jc w:val="center"/>
        </w:trPr>
        <w:tc>
          <w:tcPr>
            <w:tcW w:w="21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公用经费</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4"/>
                <w:szCs w:val="24"/>
                <w:u w:val="none"/>
                <w:lang w:val="en-US" w:eastAsia="zh-CN" w:bidi="ar-SA"/>
              </w:rPr>
            </w:pPr>
            <w:r>
              <w:rPr>
                <w:rFonts w:ascii="宋体" w:hAnsi="宋体" w:eastAsia="宋体" w:cs="宋体"/>
                <w:sz w:val="24"/>
                <w:szCs w:val="24"/>
              </w:rPr>
              <w:t>36413.77</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FF0000"/>
                <w:kern w:val="0"/>
                <w:sz w:val="22"/>
                <w:szCs w:val="22"/>
                <w:u w:val="none"/>
                <w:lang w:val="en-US" w:eastAsia="zh-CN" w:bidi="ar"/>
              </w:rPr>
              <w:t>39,771.52</w:t>
            </w:r>
          </w:p>
        </w:tc>
        <w:tc>
          <w:tcPr>
            <w:tcW w:w="25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iCs w:val="0"/>
                <w:color w:val="FF0000"/>
                <w:kern w:val="0"/>
                <w:sz w:val="22"/>
                <w:szCs w:val="22"/>
                <w:u w:val="none"/>
                <w:lang w:val="en-US" w:eastAsia="zh-CN" w:bidi="ar"/>
              </w:rPr>
              <w:t>-3,357.75</w:t>
            </w:r>
          </w:p>
        </w:tc>
      </w:tr>
      <w:tr>
        <w:tblPrEx>
          <w:tblLayout w:type="fixed"/>
          <w:tblCellMar>
            <w:top w:w="0" w:type="dxa"/>
            <w:left w:w="0" w:type="dxa"/>
            <w:bottom w:w="0" w:type="dxa"/>
            <w:right w:w="0" w:type="dxa"/>
          </w:tblCellMar>
        </w:tblPrEx>
        <w:trPr>
          <w:trHeight w:val="285" w:hRule="atLeast"/>
          <w:jc w:val="center"/>
        </w:trPr>
        <w:tc>
          <w:tcPr>
            <w:tcW w:w="219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2"/>
                <w:sz w:val="24"/>
                <w:szCs w:val="24"/>
                <w:u w:val="none"/>
                <w:lang w:val="en-US" w:eastAsia="zh-CN" w:bidi="ar-SA"/>
              </w:rPr>
            </w:pPr>
            <w:r>
              <w:rPr>
                <w:rFonts w:ascii="宋体" w:hAnsi="宋体" w:eastAsia="宋体" w:cs="宋体"/>
                <w:sz w:val="24"/>
                <w:szCs w:val="24"/>
              </w:rPr>
              <w:t>73,508.00</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FF0000"/>
                <w:kern w:val="0"/>
                <w:sz w:val="22"/>
                <w:szCs w:val="22"/>
                <w:u w:val="none"/>
                <w:lang w:val="en-US" w:eastAsia="zh-CN" w:bidi="ar"/>
              </w:rPr>
              <w:t>28,994.85</w:t>
            </w:r>
          </w:p>
        </w:tc>
        <w:tc>
          <w:tcPr>
            <w:tcW w:w="25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ascii="宋体" w:hAnsi="宋体" w:eastAsia="宋体" w:cs="宋体"/>
                <w:sz w:val="24"/>
                <w:szCs w:val="24"/>
              </w:rPr>
              <w:t>44,513.15</w:t>
            </w:r>
          </w:p>
        </w:tc>
      </w:tr>
    </w:tbl>
    <w:p>
      <w:pPr>
        <w:snapToGrid w:val="0"/>
        <w:spacing w:line="520" w:lineRule="exact"/>
        <w:rPr>
          <w:rFonts w:ascii="仿宋_GB2312" w:hAnsi="仿宋" w:eastAsia="仿宋_GB2312"/>
          <w:sz w:val="32"/>
          <w:szCs w:val="32"/>
        </w:rPr>
      </w:pPr>
      <w:r>
        <w:rPr>
          <w:rFonts w:hint="eastAsia" w:ascii="仿宋_GB2312" w:hAnsi="仿宋" w:eastAsia="仿宋_GB2312"/>
          <w:sz w:val="32"/>
          <w:szCs w:val="32"/>
        </w:rPr>
        <w:t>当年收入支出预算执行基本情况，与上年度对比情况，包括增减绝对值与幅度，增减变动主要原因(可用柱形图或折线图)。</w:t>
      </w:r>
    </w:p>
    <w:p>
      <w:pPr>
        <w:snapToGrid w:val="0"/>
        <w:spacing w:line="52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1．收入支出与预算对比分析。</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（1）预、决算差异情况，可分收入支出功能科目、分单位、分收入支出具体项目逐项对比（可列表）。</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（2）差异原因分析。差异较大的应分析到具体收入支出功能科目和具体单位。</w:t>
      </w:r>
    </w:p>
    <w:p>
      <w:pPr>
        <w:snapToGrid w:val="0"/>
        <w:spacing w:line="52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2．收入支出结构分析。</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（1）各项收入占总收入的比重，各项支出占总支出的比重（可分别制作饼状图）。</w:t>
      </w:r>
    </w:p>
    <w:p>
      <w:pPr>
        <w:snapToGrid w:val="0"/>
        <w:spacing w:line="520" w:lineRule="exact"/>
        <w:rPr>
          <w:rFonts w:hint="eastAsia" w:ascii="仿宋_GB2312" w:hAnsi="仿宋" w:eastAsia="仿宋_GB2312"/>
          <w:sz w:val="32"/>
          <w:szCs w:val="32"/>
        </w:rPr>
      </w:pPr>
      <w:r>
        <w:drawing>
          <wp:anchor distT="0" distB="0" distL="114300" distR="114300" simplePos="0" relativeHeight="251659264" behindDoc="0" locked="0" layoutInCell="1" allowOverlap="1">
            <wp:simplePos x="0" y="0"/>
            <wp:positionH relativeFrom="column">
              <wp:posOffset>396875</wp:posOffset>
            </wp:positionH>
            <wp:positionV relativeFrom="paragraph">
              <wp:posOffset>307975</wp:posOffset>
            </wp:positionV>
            <wp:extent cx="4572000" cy="2743200"/>
            <wp:effectExtent l="0" t="0" r="0" b="0"/>
            <wp:wrapTopAndBottom/>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（2）收入支出按部门所属单位分布情况（可列表）。</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（3）收入支出与上年度对比情况及原因分析(可用柱形图或折线图)。</w:t>
      </w:r>
    </w:p>
    <w:p>
      <w:pPr>
        <w:snapToGrid w:val="0"/>
        <w:spacing w:line="52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3．支出按经济分类科目分析。</w:t>
      </w:r>
    </w:p>
    <w:p>
      <w:pPr>
        <w:snapToGrid w:val="0"/>
        <w:spacing w:line="576"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（1）“三公”经费支出情况：</w:t>
      </w:r>
    </w:p>
    <w:tbl>
      <w:tblPr>
        <w:tblStyle w:val="6"/>
        <w:tblW w:w="8685" w:type="dxa"/>
        <w:jc w:val="center"/>
        <w:tblInd w:w="0" w:type="dxa"/>
        <w:tblLayout w:type="fixed"/>
        <w:tblCellMar>
          <w:top w:w="0" w:type="dxa"/>
          <w:left w:w="0" w:type="dxa"/>
          <w:bottom w:w="0" w:type="dxa"/>
          <w:right w:w="0" w:type="dxa"/>
        </w:tblCellMar>
      </w:tblPr>
      <w:tblGrid>
        <w:gridCol w:w="2055"/>
        <w:gridCol w:w="1785"/>
        <w:gridCol w:w="1785"/>
        <w:gridCol w:w="1545"/>
        <w:gridCol w:w="1515"/>
      </w:tblGrid>
      <w:tr>
        <w:tblPrEx>
          <w:tblLayout w:type="fixed"/>
          <w:tblCellMar>
            <w:top w:w="0" w:type="dxa"/>
            <w:left w:w="0" w:type="dxa"/>
            <w:bottom w:w="0" w:type="dxa"/>
            <w:right w:w="0" w:type="dxa"/>
          </w:tblCellMar>
        </w:tblPrEx>
        <w:trPr>
          <w:trHeight w:val="285" w:hRule="atLeast"/>
          <w:jc w:val="center"/>
        </w:trPr>
        <w:tc>
          <w:tcPr>
            <w:tcW w:w="20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本年度</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上年度</w:t>
            </w:r>
          </w:p>
        </w:tc>
        <w:tc>
          <w:tcPr>
            <w:tcW w:w="15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比上年增减</w:t>
            </w:r>
          </w:p>
        </w:tc>
        <w:tc>
          <w:tcPr>
            <w:tcW w:w="15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增减率%</w:t>
            </w:r>
          </w:p>
        </w:tc>
      </w:tr>
      <w:tr>
        <w:tblPrEx>
          <w:tblLayout w:type="fixed"/>
          <w:tblCellMar>
            <w:top w:w="0" w:type="dxa"/>
            <w:left w:w="0" w:type="dxa"/>
            <w:bottom w:w="0" w:type="dxa"/>
            <w:right w:w="0" w:type="dxa"/>
          </w:tblCellMar>
        </w:tblPrEx>
        <w:trPr>
          <w:trHeight w:val="570" w:hRule="atLeast"/>
          <w:jc w:val="center"/>
        </w:trPr>
        <w:tc>
          <w:tcPr>
            <w:tcW w:w="20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公务用车运行维护费</w:t>
            </w:r>
          </w:p>
        </w:tc>
        <w:tc>
          <w:tcPr>
            <w:tcW w:w="178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2"/>
                <w:sz w:val="22"/>
                <w:szCs w:val="22"/>
                <w:u w:val="none"/>
                <w:lang w:val="en-US" w:eastAsia="zh-CN" w:bidi="ar-SA"/>
              </w:rPr>
              <w:t>0</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default" w:ascii="宋体" w:hAnsi="宋体" w:eastAsia="宋体" w:cs="宋体"/>
                <w:i w:val="0"/>
                <w:iCs w:val="0"/>
                <w:color w:val="000000"/>
                <w:kern w:val="2"/>
                <w:sz w:val="22"/>
                <w:szCs w:val="22"/>
                <w:u w:val="none"/>
                <w:lang w:val="en-US" w:eastAsia="zh-CN" w:bidi="ar-SA"/>
              </w:rPr>
              <w:t>2650.92</w:t>
            </w:r>
          </w:p>
        </w:tc>
        <w:tc>
          <w:tcPr>
            <w:tcW w:w="15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2650.92</w:t>
            </w:r>
          </w:p>
        </w:tc>
        <w:tc>
          <w:tcPr>
            <w:tcW w:w="15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-1</w:t>
            </w:r>
          </w:p>
        </w:tc>
      </w:tr>
      <w:tr>
        <w:tblPrEx>
          <w:tblLayout w:type="fixed"/>
          <w:tblCellMar>
            <w:top w:w="0" w:type="dxa"/>
            <w:left w:w="0" w:type="dxa"/>
            <w:bottom w:w="0" w:type="dxa"/>
            <w:right w:w="0" w:type="dxa"/>
          </w:tblCellMar>
        </w:tblPrEx>
        <w:trPr>
          <w:trHeight w:val="285" w:hRule="atLeast"/>
          <w:jc w:val="center"/>
        </w:trPr>
        <w:tc>
          <w:tcPr>
            <w:tcW w:w="20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公务接待费</w:t>
            </w:r>
          </w:p>
        </w:tc>
        <w:tc>
          <w:tcPr>
            <w:tcW w:w="1785" w:type="dxa"/>
            <w:tcBorders>
              <w:top w:val="nil"/>
              <w:left w:val="nil"/>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0</w:t>
            </w:r>
          </w:p>
        </w:tc>
        <w:tc>
          <w:tcPr>
            <w:tcW w:w="15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0</w:t>
            </w:r>
          </w:p>
        </w:tc>
      </w:tr>
    </w:tbl>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（2）会议费支出情况：</w:t>
      </w:r>
      <w:r>
        <w:rPr>
          <w:rFonts w:hint="eastAsia" w:ascii="仿宋_GB2312" w:hAnsi="仿宋" w:eastAsia="仿宋_GB2312"/>
          <w:sz w:val="32"/>
          <w:szCs w:val="32"/>
          <w:lang w:eastAsia="zh-CN"/>
        </w:rPr>
        <w:t>无</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（3）培训费支出情况：</w:t>
      </w:r>
      <w:r>
        <w:rPr>
          <w:rFonts w:hint="eastAsia" w:ascii="仿宋_GB2312" w:hAnsi="仿宋" w:eastAsia="仿宋_GB2312"/>
          <w:sz w:val="32"/>
          <w:szCs w:val="32"/>
          <w:lang w:eastAsia="zh-CN"/>
        </w:rPr>
        <w:t>无</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（4）其他对部门影响较大的支出情况</w:t>
      </w:r>
      <w:r>
        <w:rPr>
          <w:rFonts w:hint="eastAsia" w:ascii="仿宋_GB2312" w:hAnsi="仿宋" w:eastAsia="仿宋_GB2312"/>
          <w:sz w:val="32"/>
          <w:szCs w:val="32"/>
          <w:lang w:eastAsia="zh-CN"/>
        </w:rPr>
        <w:t>：无</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rPr>
        <w:t>（5）重点经济分类支出中存在的问题及改进措施</w:t>
      </w:r>
      <w:r>
        <w:rPr>
          <w:rFonts w:hint="eastAsia" w:ascii="仿宋_GB2312" w:hAnsi="仿宋" w:eastAsia="仿宋_GB2312"/>
          <w:sz w:val="32"/>
          <w:szCs w:val="32"/>
          <w:lang w:eastAsia="zh-CN"/>
        </w:rPr>
        <w:t>：无</w:t>
      </w:r>
    </w:p>
    <w:p>
      <w:pPr>
        <w:snapToGrid w:val="0"/>
        <w:spacing w:line="520" w:lineRule="exact"/>
        <w:ind w:firstLine="643" w:firstLineChars="200"/>
        <w:rPr>
          <w:rFonts w:ascii="仿宋_GB2312" w:hAnsi="仿宋" w:eastAsia="仿宋_GB2312"/>
          <w:b/>
          <w:sz w:val="32"/>
          <w:szCs w:val="32"/>
          <w:highlight w:val="none"/>
        </w:rPr>
      </w:pPr>
      <w:r>
        <w:rPr>
          <w:rFonts w:hint="eastAsia" w:ascii="仿宋_GB2312" w:hAnsi="仿宋" w:eastAsia="仿宋_GB2312"/>
          <w:b/>
          <w:sz w:val="32"/>
          <w:szCs w:val="32"/>
          <w:highlight w:val="none"/>
        </w:rPr>
        <w:t>4.财政拨款收入、支出分析。</w:t>
      </w:r>
    </w:p>
    <w:tbl>
      <w:tblPr>
        <w:tblStyle w:val="6"/>
        <w:tblW w:w="7740" w:type="dxa"/>
        <w:jc w:val="center"/>
        <w:tblInd w:w="0" w:type="dxa"/>
        <w:tblLayout w:type="fixed"/>
        <w:tblCellMar>
          <w:top w:w="0" w:type="dxa"/>
          <w:left w:w="0" w:type="dxa"/>
          <w:bottom w:w="0" w:type="dxa"/>
          <w:right w:w="0" w:type="dxa"/>
        </w:tblCellMar>
      </w:tblPr>
      <w:tblGrid>
        <w:gridCol w:w="2970"/>
        <w:gridCol w:w="1785"/>
        <w:gridCol w:w="2985"/>
      </w:tblGrid>
      <w:tr>
        <w:tblPrEx>
          <w:tblLayout w:type="fixed"/>
          <w:tblCellMar>
            <w:top w:w="0" w:type="dxa"/>
            <w:left w:w="0" w:type="dxa"/>
            <w:bottom w:w="0" w:type="dxa"/>
            <w:right w:w="0" w:type="dxa"/>
          </w:tblCellMar>
        </w:tblPrEx>
        <w:trPr>
          <w:trHeight w:val="570" w:hRule="atLeast"/>
          <w:jc w:val="center"/>
        </w:trPr>
        <w:tc>
          <w:tcPr>
            <w:tcW w:w="2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财政拨款预算收入</w:t>
            </w:r>
          </w:p>
        </w:tc>
        <w:tc>
          <w:tcPr>
            <w:tcW w:w="2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财政拨款预算支出</w:t>
            </w:r>
          </w:p>
        </w:tc>
      </w:tr>
      <w:tr>
        <w:tblPrEx>
          <w:tblLayout w:type="fixed"/>
          <w:tblCellMar>
            <w:top w:w="0" w:type="dxa"/>
            <w:left w:w="0" w:type="dxa"/>
            <w:bottom w:w="0" w:type="dxa"/>
            <w:right w:w="0" w:type="dxa"/>
          </w:tblCellMar>
        </w:tblPrEx>
        <w:trPr>
          <w:trHeight w:val="285" w:hRule="atLeast"/>
          <w:jc w:val="center"/>
        </w:trPr>
        <w:tc>
          <w:tcPr>
            <w:tcW w:w="2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一般公共服务支出</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ascii="宋体" w:hAnsi="宋体" w:eastAsia="宋体" w:cs="宋体"/>
                <w:sz w:val="24"/>
                <w:szCs w:val="24"/>
              </w:rPr>
              <w:t>1,317,605.00</w:t>
            </w:r>
          </w:p>
        </w:tc>
        <w:tc>
          <w:tcPr>
            <w:tcW w:w="2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ascii="宋体" w:hAnsi="宋体" w:eastAsia="宋体" w:cs="宋体"/>
                <w:sz w:val="24"/>
                <w:szCs w:val="24"/>
              </w:rPr>
              <w:t>993,828.88</w:t>
            </w:r>
          </w:p>
        </w:tc>
      </w:tr>
      <w:tr>
        <w:tblPrEx>
          <w:tblLayout w:type="fixed"/>
          <w:tblCellMar>
            <w:top w:w="0" w:type="dxa"/>
            <w:left w:w="0" w:type="dxa"/>
            <w:bottom w:w="0" w:type="dxa"/>
            <w:right w:w="0" w:type="dxa"/>
          </w:tblCellMar>
        </w:tblPrEx>
        <w:trPr>
          <w:trHeight w:val="285" w:hRule="atLeast"/>
          <w:jc w:val="center"/>
        </w:trPr>
        <w:tc>
          <w:tcPr>
            <w:tcW w:w="2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基本支出</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ascii="宋体" w:hAnsi="宋体" w:eastAsia="宋体" w:cs="宋体"/>
                <w:sz w:val="24"/>
                <w:szCs w:val="24"/>
              </w:rPr>
              <w:t>1,649,205.00</w:t>
            </w:r>
          </w:p>
        </w:tc>
        <w:tc>
          <w:tcPr>
            <w:tcW w:w="2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ascii="宋体" w:hAnsi="宋体" w:eastAsia="宋体" w:cs="宋体"/>
                <w:sz w:val="24"/>
                <w:szCs w:val="24"/>
              </w:rPr>
              <w:t>1,077,613.00</w:t>
            </w:r>
          </w:p>
        </w:tc>
      </w:tr>
      <w:tr>
        <w:tblPrEx>
          <w:tblLayout w:type="fixed"/>
          <w:tblCellMar>
            <w:top w:w="0" w:type="dxa"/>
            <w:left w:w="0" w:type="dxa"/>
            <w:bottom w:w="0" w:type="dxa"/>
            <w:right w:w="0" w:type="dxa"/>
          </w:tblCellMar>
        </w:tblPrEx>
        <w:trPr>
          <w:trHeight w:val="285" w:hRule="atLeast"/>
          <w:jc w:val="center"/>
        </w:trPr>
        <w:tc>
          <w:tcPr>
            <w:tcW w:w="29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17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ascii="宋体" w:hAnsi="宋体" w:eastAsia="宋体" w:cs="宋体"/>
                <w:sz w:val="24"/>
                <w:szCs w:val="24"/>
              </w:rPr>
              <w:t>80,000.00</w:t>
            </w:r>
          </w:p>
        </w:tc>
        <w:tc>
          <w:tcPr>
            <w:tcW w:w="29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2"/>
                <w:sz w:val="22"/>
                <w:szCs w:val="22"/>
                <w:u w:val="none"/>
                <w:lang w:val="en-US" w:eastAsia="zh-CN" w:bidi="ar-SA"/>
              </w:rPr>
              <w:t>73508</w:t>
            </w:r>
          </w:p>
        </w:tc>
      </w:tr>
    </w:tbl>
    <w:p>
      <w:pPr>
        <w:snapToGrid w:val="0"/>
        <w:spacing w:line="52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5.非财政拨款收入分析。</w:t>
      </w:r>
    </w:p>
    <w:p>
      <w:pPr>
        <w:snapToGrid w:val="0"/>
        <w:spacing w:line="52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无</w:t>
      </w:r>
    </w:p>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（三）年末结转和结余情况。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w:t>
      </w:r>
      <w:r>
        <w:rPr>
          <w:rFonts w:hint="eastAsia" w:ascii="仿宋_GB2312" w:hAnsi="仿宋" w:eastAsia="仿宋_GB2312" w:cs="Times New Roman"/>
          <w:sz w:val="32"/>
          <w:szCs w:val="32"/>
        </w:rPr>
        <w:t>收支结余情况：本年年末结转0元（其中基本支出结余0元，项目结转0元）</w:t>
      </w:r>
    </w:p>
    <w:p>
      <w:pPr>
        <w:snapToGrid w:val="0"/>
        <w:spacing w:line="520" w:lineRule="exact"/>
        <w:ind w:firstLine="643" w:firstLineChars="200"/>
        <w:rPr>
          <w:rFonts w:ascii="楷体_GB2312" w:hAnsi="仿宋" w:eastAsia="楷体_GB2312"/>
          <w:b/>
          <w:color w:val="auto"/>
          <w:sz w:val="32"/>
          <w:szCs w:val="32"/>
        </w:rPr>
      </w:pPr>
      <w:r>
        <w:rPr>
          <w:rFonts w:hint="eastAsia" w:ascii="楷体_GB2312" w:hAnsi="仿宋" w:eastAsia="楷体_GB2312"/>
          <w:b/>
          <w:color w:val="auto"/>
          <w:sz w:val="32"/>
          <w:szCs w:val="32"/>
        </w:rPr>
        <w:t>（四）与预算支出相关的其他指标分析。</w:t>
      </w:r>
    </w:p>
    <w:p>
      <w:pPr>
        <w:keepNext w:val="0"/>
        <w:keepLines w:val="0"/>
        <w:pageBreakBefore w:val="0"/>
        <w:widowControl/>
        <w:kinsoku/>
        <w:wordWrap/>
        <w:overflowPunct/>
        <w:topLinePunct w:val="0"/>
        <w:autoSpaceDE/>
        <w:autoSpaceDN/>
        <w:bidi w:val="0"/>
        <w:snapToGrid w:val="0"/>
        <w:spacing w:after="0" w:afterLines="0" w:line="520" w:lineRule="exact"/>
        <w:ind w:left="0" w:leftChars="0" w:right="0" w:rightChars="0" w:firstLine="640" w:firstLineChars="200"/>
        <w:outlineLvl w:val="9"/>
        <w:rPr>
          <w:rFonts w:hint="eastAsia" w:ascii="仿宋_GB2312" w:hAnsi="仿宋" w:eastAsia="仿宋_GB2312" w:cs="Times New Roman"/>
          <w:color w:val="000000"/>
          <w:kern w:val="2"/>
          <w:sz w:val="32"/>
          <w:szCs w:val="32"/>
        </w:rPr>
      </w:pPr>
      <w:r>
        <w:rPr>
          <w:rFonts w:hint="eastAsia" w:ascii="仿宋_GB2312" w:hAnsi="仿宋" w:eastAsia="仿宋_GB2312" w:cs="Times New Roman"/>
          <w:sz w:val="32"/>
          <w:szCs w:val="32"/>
        </w:rPr>
        <w:t>1.</w:t>
      </w:r>
      <w:r>
        <w:rPr>
          <w:rFonts w:hint="eastAsia" w:ascii="仿宋_GB2312" w:hAnsi="仿宋" w:eastAsia="仿宋_GB2312" w:cs="Times New Roman"/>
          <w:sz w:val="32"/>
          <w:szCs w:val="32"/>
          <w:lang w:eastAsia="zh-CN"/>
        </w:rPr>
        <w:t>202</w:t>
      </w:r>
      <w:r>
        <w:rPr>
          <w:rFonts w:hint="eastAsia" w:ascii="仿宋_GB2312" w:hAnsi="仿宋" w:eastAsia="仿宋_GB2312" w:cs="Times New Roman"/>
          <w:sz w:val="32"/>
          <w:szCs w:val="32"/>
          <w:lang w:val="en-US" w:eastAsia="zh-CN"/>
        </w:rPr>
        <w:t>4</w:t>
      </w:r>
      <w:r>
        <w:rPr>
          <w:rFonts w:hint="eastAsia" w:ascii="仿宋_GB2312" w:hAnsi="仿宋" w:eastAsia="仿宋_GB2312" w:cs="Times New Roman"/>
          <w:sz w:val="32"/>
          <w:szCs w:val="32"/>
        </w:rPr>
        <w:t>年资产年末数较上年</w:t>
      </w:r>
      <w:r>
        <w:rPr>
          <w:rFonts w:hint="eastAsia" w:ascii="仿宋_GB2312" w:hAnsi="仿宋" w:eastAsia="仿宋_GB2312" w:cs="Times New Roman"/>
          <w:sz w:val="32"/>
          <w:szCs w:val="32"/>
          <w:lang w:eastAsia="zh-CN"/>
        </w:rPr>
        <w:t>无变化</w:t>
      </w:r>
      <w:r>
        <w:rPr>
          <w:rFonts w:hint="eastAsia" w:ascii="仿宋_GB2312" w:hAnsi="仿宋" w:eastAsia="仿宋_GB2312" w:cs="Times New Roman"/>
          <w:kern w:val="2"/>
          <w:sz w:val="32"/>
          <w:szCs w:val="32"/>
          <w:lang w:eastAsia="zh-CN"/>
        </w:rPr>
        <w:t>；</w:t>
      </w:r>
    </w:p>
    <w:p>
      <w:pPr>
        <w:keepNext w:val="0"/>
        <w:keepLines w:val="0"/>
        <w:pageBreakBefore w:val="0"/>
        <w:widowControl/>
        <w:kinsoku/>
        <w:wordWrap/>
        <w:overflowPunct/>
        <w:topLinePunct w:val="0"/>
        <w:autoSpaceDE/>
        <w:autoSpaceDN/>
        <w:bidi w:val="0"/>
        <w:snapToGrid w:val="0"/>
        <w:spacing w:after="0" w:afterLines="0" w:line="520" w:lineRule="exact"/>
        <w:ind w:left="0" w:leftChars="0" w:right="0" w:rightChars="0" w:firstLine="640" w:firstLineChars="200"/>
        <w:outlineLvl w:val="9"/>
        <w:rPr>
          <w:rFonts w:hint="eastAsia" w:ascii="仿宋_GB2312" w:hAnsi="仿宋" w:eastAsia="仿宋_GB2312" w:cs="Times New Roman"/>
          <w:color w:val="000000"/>
          <w:kern w:val="2"/>
          <w:sz w:val="32"/>
          <w:szCs w:val="32"/>
        </w:rPr>
      </w:pPr>
      <w:r>
        <w:rPr>
          <w:rFonts w:hint="eastAsia" w:ascii="仿宋_GB2312" w:hAnsi="仿宋" w:eastAsia="仿宋_GB2312" w:cs="Times New Roman"/>
          <w:color w:val="000000"/>
          <w:kern w:val="2"/>
          <w:sz w:val="32"/>
          <w:szCs w:val="32"/>
        </w:rPr>
        <w:t>2.</w:t>
      </w:r>
      <w:r>
        <w:rPr>
          <w:rFonts w:hint="eastAsia" w:ascii="仿宋_GB2312" w:hAnsi="仿宋" w:eastAsia="仿宋_GB2312" w:cs="Times New Roman"/>
          <w:color w:val="000000"/>
          <w:kern w:val="2"/>
          <w:sz w:val="32"/>
          <w:szCs w:val="32"/>
          <w:lang w:eastAsia="zh-CN"/>
        </w:rPr>
        <w:t>202</w:t>
      </w:r>
      <w:r>
        <w:rPr>
          <w:rFonts w:hint="eastAsia" w:ascii="仿宋_GB2312" w:hAnsi="仿宋" w:eastAsia="仿宋_GB2312" w:cs="Times New Roman"/>
          <w:color w:val="000000"/>
          <w:kern w:val="2"/>
          <w:sz w:val="32"/>
          <w:szCs w:val="32"/>
          <w:lang w:val="en-US" w:eastAsia="zh-CN"/>
        </w:rPr>
        <w:t>4</w:t>
      </w:r>
      <w:r>
        <w:rPr>
          <w:rFonts w:hint="eastAsia" w:ascii="仿宋_GB2312" w:hAnsi="仿宋" w:eastAsia="仿宋_GB2312" w:cs="Times New Roman"/>
          <w:color w:val="000000"/>
          <w:kern w:val="2"/>
          <w:sz w:val="32"/>
          <w:szCs w:val="32"/>
        </w:rPr>
        <w:t>年负债年末数较上年无变化</w:t>
      </w:r>
      <w:r>
        <w:rPr>
          <w:rFonts w:hint="eastAsia" w:ascii="仿宋_GB2312" w:hAnsi="仿宋" w:eastAsia="仿宋_GB2312" w:cs="Times New Roman"/>
          <w:kern w:val="2"/>
          <w:sz w:val="32"/>
          <w:szCs w:val="32"/>
          <w:lang w:eastAsia="zh-CN"/>
        </w:rPr>
        <w:t>；</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cs="Times New Roman"/>
          <w:color w:val="000000"/>
          <w:kern w:val="2"/>
          <w:sz w:val="32"/>
          <w:szCs w:val="32"/>
        </w:rPr>
        <w:t>3.</w:t>
      </w:r>
      <w:r>
        <w:rPr>
          <w:rFonts w:hint="eastAsia" w:ascii="仿宋_GB2312" w:hAnsi="仿宋" w:eastAsia="仿宋_GB2312" w:cs="Times New Roman"/>
          <w:color w:val="000000"/>
          <w:kern w:val="2"/>
          <w:sz w:val="32"/>
          <w:szCs w:val="32"/>
          <w:lang w:eastAsia="zh-CN"/>
        </w:rPr>
        <w:t>202</w:t>
      </w:r>
      <w:r>
        <w:rPr>
          <w:rFonts w:hint="eastAsia" w:ascii="仿宋_GB2312" w:hAnsi="仿宋" w:eastAsia="仿宋_GB2312" w:cs="Times New Roman"/>
          <w:color w:val="000000"/>
          <w:kern w:val="2"/>
          <w:sz w:val="32"/>
          <w:szCs w:val="32"/>
          <w:lang w:val="en-US" w:eastAsia="zh-CN"/>
        </w:rPr>
        <w:t>4</w:t>
      </w:r>
      <w:r>
        <w:rPr>
          <w:rFonts w:hint="eastAsia" w:ascii="仿宋_GB2312" w:hAnsi="仿宋" w:eastAsia="仿宋_GB2312" w:cs="Times New Roman"/>
          <w:color w:val="000000"/>
          <w:kern w:val="2"/>
          <w:sz w:val="32"/>
          <w:szCs w:val="32"/>
        </w:rPr>
        <w:t>年净资产年末数较上年</w:t>
      </w:r>
      <w:r>
        <w:rPr>
          <w:rFonts w:hint="eastAsia" w:ascii="仿宋_GB2312" w:hAnsi="仿宋" w:eastAsia="仿宋_GB2312" w:cs="Times New Roman"/>
          <w:color w:val="000000"/>
          <w:kern w:val="2"/>
          <w:sz w:val="32"/>
          <w:szCs w:val="32"/>
          <w:lang w:eastAsia="zh-CN"/>
        </w:rPr>
        <w:t>无变化</w:t>
      </w:r>
      <w:r>
        <w:rPr>
          <w:rFonts w:hint="eastAsia" w:ascii="仿宋_GB2312" w:hAnsi="仿宋" w:eastAsia="仿宋_GB2312" w:cs="Times New Roman"/>
          <w:color w:val="000000"/>
          <w:kern w:val="2"/>
          <w:sz w:val="32"/>
          <w:szCs w:val="32"/>
        </w:rPr>
        <w:t>。</w:t>
      </w:r>
    </w:p>
    <w:p>
      <w:pPr>
        <w:snapToGrid w:val="0"/>
        <w:spacing w:line="520" w:lineRule="exact"/>
        <w:ind w:firstLine="643" w:firstLineChars="200"/>
        <w:rPr>
          <w:rFonts w:ascii="楷体_GB2312" w:hAnsi="仿宋" w:eastAsia="楷体_GB2312"/>
          <w:b/>
          <w:sz w:val="32"/>
          <w:szCs w:val="32"/>
        </w:rPr>
      </w:pPr>
      <w:r>
        <w:rPr>
          <w:rFonts w:hint="eastAsia" w:ascii="楷体_GB2312" w:hAnsi="仿宋" w:eastAsia="楷体_GB2312"/>
          <w:b/>
          <w:sz w:val="32"/>
          <w:szCs w:val="32"/>
        </w:rPr>
        <w:t>（五）绩效目标完成情况。</w:t>
      </w:r>
    </w:p>
    <w:p>
      <w:pPr>
        <w:snapToGrid w:val="0"/>
        <w:spacing w:line="576"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1.绩效目标</w:t>
      </w:r>
      <w:r>
        <w:rPr>
          <w:rFonts w:hint="eastAsia" w:ascii="仿宋_GB2312" w:hAnsi="仿宋" w:eastAsia="仿宋_GB2312"/>
          <w:sz w:val="32"/>
          <w:szCs w:val="32"/>
          <w:lang w:eastAsia="zh-CN"/>
        </w:rPr>
        <w:t>总体上基本完成</w:t>
      </w:r>
      <w:r>
        <w:rPr>
          <w:rFonts w:hint="eastAsia" w:ascii="仿宋_GB2312" w:hAnsi="仿宋" w:eastAsia="仿宋_GB2312"/>
          <w:sz w:val="32"/>
          <w:szCs w:val="32"/>
        </w:rPr>
        <w:t>。</w:t>
      </w:r>
    </w:p>
    <w:p>
      <w:pPr>
        <w:keepNext w:val="0"/>
        <w:keepLines w:val="0"/>
        <w:pageBreakBefore w:val="0"/>
        <w:widowControl/>
        <w:kinsoku/>
        <w:wordWrap/>
        <w:overflowPunct/>
        <w:topLinePunct w:val="0"/>
        <w:autoSpaceDE/>
        <w:autoSpaceDN/>
        <w:bidi w:val="0"/>
        <w:spacing w:after="0" w:afterLines="0" w:line="560" w:lineRule="exact"/>
        <w:ind w:right="0" w:rightChars="0" w:firstLine="640" w:firstLineChars="200"/>
        <w:outlineLvl w:val="9"/>
        <w:rPr>
          <w:rFonts w:hint="eastAsia" w:ascii="仿宋_GB2312" w:hAnsi="仿宋" w:eastAsia="仿宋_GB2312"/>
          <w:sz w:val="32"/>
          <w:szCs w:val="32"/>
          <w:lang w:val="en-US" w:eastAsia="zh-CN"/>
        </w:rPr>
      </w:pPr>
      <w:r>
        <w:rPr>
          <w:rFonts w:hint="eastAsia" w:ascii="仿宋_GB2312" w:hAnsi="仿宋" w:eastAsia="仿宋_GB2312"/>
          <w:sz w:val="32"/>
          <w:szCs w:val="32"/>
        </w:rPr>
        <w:t>2.</w:t>
      </w:r>
      <w:r>
        <w:rPr>
          <w:rFonts w:hint="eastAsia" w:ascii="仿宋_GB2312" w:hAnsi="仿宋" w:eastAsia="仿宋_GB2312"/>
          <w:sz w:val="32"/>
          <w:szCs w:val="32"/>
          <w:lang w:val="en-US" w:eastAsia="zh-CN"/>
        </w:rPr>
        <w:t>已完工项目基本实现既定目标</w:t>
      </w:r>
    </w:p>
    <w:p>
      <w:pPr>
        <w:keepNext w:val="0"/>
        <w:keepLines w:val="0"/>
        <w:pageBreakBefore w:val="0"/>
        <w:widowControl/>
        <w:kinsoku/>
        <w:wordWrap/>
        <w:overflowPunct/>
        <w:topLinePunct w:val="0"/>
        <w:autoSpaceDE/>
        <w:autoSpaceDN/>
        <w:bidi w:val="0"/>
        <w:spacing w:after="0" w:afterLines="0" w:line="560" w:lineRule="exact"/>
        <w:ind w:right="0" w:rightChars="0"/>
        <w:outlineLvl w:val="9"/>
        <w:rPr>
          <w:rFonts w:hint="eastAsia" w:ascii="楷体_GB2312" w:hAnsi="仿宋" w:eastAsia="楷体_GB2312"/>
          <w:b/>
          <w:sz w:val="32"/>
          <w:szCs w:val="32"/>
        </w:rPr>
      </w:pPr>
      <w:r>
        <w:rPr>
          <w:rFonts w:hint="eastAsia" w:ascii="楷体_GB2312" w:hAnsi="仿宋" w:eastAsia="楷体_GB2312"/>
          <w:b/>
          <w:sz w:val="32"/>
          <w:szCs w:val="32"/>
        </w:rPr>
        <w:t>（六）当年预算执行及绩效管理中存在问题、原因及改进措施。</w:t>
      </w:r>
    </w:p>
    <w:p>
      <w:pPr>
        <w:keepNext w:val="0"/>
        <w:keepLines w:val="0"/>
        <w:pageBreakBefore w:val="0"/>
        <w:widowControl/>
        <w:kinsoku/>
        <w:wordWrap/>
        <w:overflowPunct/>
        <w:topLinePunct w:val="0"/>
        <w:autoSpaceDE/>
        <w:autoSpaceDN/>
        <w:bidi w:val="0"/>
        <w:spacing w:after="0" w:afterLines="0" w:line="560" w:lineRule="exact"/>
        <w:ind w:right="0" w:rightChars="0"/>
        <w:outlineLvl w:val="9"/>
        <w:rPr>
          <w:rFonts w:hint="eastAsia" w:ascii="仿宋" w:hAnsi="仿宋" w:eastAsia="仿宋" w:cs="仿宋"/>
          <w:b w:val="0"/>
          <w:bCs w:val="0"/>
          <w:kern w:val="0"/>
          <w:sz w:val="32"/>
          <w:szCs w:val="32"/>
          <w:lang w:val="en-US" w:eastAsia="zh-CN"/>
        </w:rPr>
      </w:pPr>
      <w:r>
        <w:rPr>
          <w:rFonts w:hint="eastAsia" w:ascii="仿宋" w:hAnsi="仿宋" w:eastAsia="仿宋" w:cs="仿宋"/>
          <w:b w:val="0"/>
          <w:bCs w:val="0"/>
          <w:kern w:val="0"/>
          <w:sz w:val="32"/>
          <w:szCs w:val="32"/>
          <w:lang w:val="en-US" w:eastAsia="zh-CN"/>
        </w:rPr>
        <w:t>1、县预算执行中存在的问题：</w:t>
      </w:r>
    </w:p>
    <w:p>
      <w:pPr>
        <w:keepNext w:val="0"/>
        <w:keepLines w:val="0"/>
        <w:pageBreakBefore w:val="0"/>
        <w:widowControl/>
        <w:kinsoku/>
        <w:wordWrap/>
        <w:overflowPunct/>
        <w:topLinePunct w:val="0"/>
        <w:autoSpaceDE/>
        <w:autoSpaceDN/>
        <w:bidi w:val="0"/>
        <w:adjustRightInd/>
        <w:snapToGrid/>
        <w:spacing w:after="0" w:afterLines="0" w:line="560" w:lineRule="exact"/>
        <w:ind w:left="0" w:leftChars="0" w:right="0" w:rightChars="0" w:firstLine="640" w:firstLineChars="200"/>
        <w:jc w:val="both"/>
        <w:textAlignment w:val="auto"/>
        <w:outlineLvl w:val="9"/>
        <w:rPr>
          <w:rFonts w:hint="eastAsia"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1）预算执行分析不够全面深入。预算执行分析是财政预算执行情况的总结，部分预算执行分析仅停留在简单的数据汇总，没有从全方位、多层次、多角度反映财政支出状况，未对财政支出结构及变化趋势进行判断，未实现部门预算与执行分析的有机结合。</w:t>
      </w:r>
    </w:p>
    <w:p>
      <w:pPr>
        <w:keepNext w:val="0"/>
        <w:keepLines w:val="0"/>
        <w:pageBreakBefore w:val="0"/>
        <w:widowControl w:val="0"/>
        <w:kinsoku/>
        <w:wordWrap/>
        <w:overflowPunct/>
        <w:topLinePunct w:val="0"/>
        <w:autoSpaceDE/>
        <w:autoSpaceDN/>
        <w:bidi w:val="0"/>
        <w:adjustRightInd/>
        <w:snapToGrid w:val="0"/>
        <w:spacing w:line="520" w:lineRule="exact"/>
        <w:ind w:left="0" w:leftChars="0" w:right="0" w:rightChars="0" w:firstLine="640" w:firstLineChars="200"/>
        <w:jc w:val="both"/>
        <w:textAlignment w:val="auto"/>
        <w:outlineLvl w:val="9"/>
        <w:rPr>
          <w:rFonts w:hint="eastAsia" w:ascii="仿宋" w:hAnsi="仿宋" w:eastAsia="仿宋" w:cs="仿宋"/>
          <w:bCs/>
          <w:color w:val="000000"/>
          <w:sz w:val="32"/>
          <w:szCs w:val="32"/>
          <w:lang w:val="en-US" w:eastAsia="zh-CN"/>
        </w:rPr>
      </w:pPr>
      <w:r>
        <w:rPr>
          <w:rFonts w:hint="eastAsia" w:ascii="仿宋" w:hAnsi="仿宋" w:eastAsia="仿宋" w:cs="宋体"/>
          <w:kern w:val="0"/>
          <w:sz w:val="32"/>
          <w:szCs w:val="32"/>
          <w:lang w:val="en-US" w:eastAsia="zh-CN"/>
        </w:rPr>
        <w:t>（2）预算执行与预算编制存在差异。由于财政部门与各预算乡镇之间的职能和分工不同，财政部门难以准确掌握各预算单位的职责，对单位的自编项目不能提出很好的建议。存在项目预算与工作计划脱节，</w:t>
      </w:r>
      <w:r>
        <w:rPr>
          <w:rFonts w:hint="eastAsia" w:ascii="仿宋" w:hAnsi="仿宋" w:eastAsia="仿宋" w:cs="仿宋"/>
          <w:bCs/>
          <w:color w:val="000000"/>
          <w:sz w:val="32"/>
          <w:szCs w:val="32"/>
          <w:lang w:val="en-US" w:eastAsia="zh-CN"/>
        </w:rPr>
        <w:t>一些支出项目存在超支情况，同时财力不足的情况较为明显，保民生领域仍有缺口，造成项目支出完成情况与年初预算存在差异。</w:t>
      </w:r>
    </w:p>
    <w:p>
      <w:pPr>
        <w:keepNext w:val="0"/>
        <w:keepLines w:val="0"/>
        <w:pageBreakBefore w:val="0"/>
        <w:widowControl/>
        <w:kinsoku/>
        <w:wordWrap/>
        <w:overflowPunct/>
        <w:topLinePunct w:val="0"/>
        <w:autoSpaceDE/>
        <w:autoSpaceDN/>
        <w:bidi w:val="0"/>
        <w:adjustRightInd/>
        <w:snapToGrid/>
        <w:spacing w:after="0" w:afterLines="0" w:line="560" w:lineRule="exact"/>
        <w:ind w:left="0" w:leftChars="0" w:right="0" w:rightChars="0" w:firstLine="640" w:firstLineChars="200"/>
        <w:jc w:val="both"/>
        <w:textAlignment w:val="auto"/>
        <w:outlineLvl w:val="9"/>
        <w:rPr>
          <w:rFonts w:hint="eastAsia"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2、县预算编制与执行存在上述问题的原因分析：</w:t>
      </w:r>
    </w:p>
    <w:p>
      <w:pPr>
        <w:keepNext w:val="0"/>
        <w:keepLines w:val="0"/>
        <w:pageBreakBefore w:val="0"/>
        <w:widowControl/>
        <w:kinsoku/>
        <w:wordWrap/>
        <w:overflowPunct/>
        <w:topLinePunct w:val="0"/>
        <w:autoSpaceDE/>
        <w:autoSpaceDN/>
        <w:bidi w:val="0"/>
        <w:adjustRightInd/>
        <w:snapToGrid/>
        <w:spacing w:after="0" w:afterLines="0" w:line="560" w:lineRule="exact"/>
        <w:ind w:left="0" w:leftChars="0" w:right="0" w:rightChars="0" w:firstLine="640" w:firstLineChars="200"/>
        <w:jc w:val="both"/>
        <w:textAlignment w:val="auto"/>
        <w:outlineLvl w:val="9"/>
        <w:rPr>
          <w:rFonts w:hint="eastAsia"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预算执行分析不深入。预算执行分析是对预算收支活动全过程的分析，以及时掌握预算收支状况，发现和解决预算执行中存在的问题，保证预算顺利执行。由于对预算执行分析的重要性认识不够，为分析而分析，没有达到应有的效果。</w:t>
      </w:r>
    </w:p>
    <w:p>
      <w:pPr>
        <w:keepNext w:val="0"/>
        <w:keepLines w:val="0"/>
        <w:pageBreakBefore w:val="0"/>
        <w:widowControl/>
        <w:kinsoku/>
        <w:wordWrap/>
        <w:overflowPunct/>
        <w:topLinePunct w:val="0"/>
        <w:autoSpaceDE/>
        <w:autoSpaceDN/>
        <w:bidi w:val="0"/>
        <w:adjustRightInd/>
        <w:snapToGrid/>
        <w:spacing w:after="0" w:afterLines="0" w:line="560" w:lineRule="exact"/>
        <w:ind w:left="0" w:leftChars="0" w:right="0" w:rightChars="0" w:firstLine="640" w:firstLineChars="200"/>
        <w:jc w:val="both"/>
        <w:textAlignment w:val="auto"/>
        <w:outlineLvl w:val="9"/>
        <w:rPr>
          <w:rFonts w:hint="eastAsia"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3、县预算执行改进措施：</w:t>
      </w:r>
    </w:p>
    <w:p>
      <w:pPr>
        <w:snapToGrid w:val="0"/>
        <w:spacing w:line="576" w:lineRule="exact"/>
        <w:ind w:firstLine="640" w:firstLineChars="200"/>
        <w:rPr>
          <w:rFonts w:hint="eastAsia"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1）加强预算执行分析，提高运行效率和使用效益。预算执行分析是加强预算收支管理，促进预算收支目标任务全面完成的重要手段，是整个财政预算执行工作的重要组成部分。要高度重视预算执行分析工作，认识到做好财政预算执行分析工作的重要意义，牢牢把握预算执行分析工作的真实性、及时性和全面性的要求，及时跟踪预算执行动态化过程，重点研究预算执行过程中出现的各种问题，强化预算执行全过程的管理，提供祥实准确的数据，并准确地预测预算收支的发展趋势。</w:t>
      </w:r>
    </w:p>
    <w:p>
      <w:pPr>
        <w:widowControl/>
        <w:numPr>
          <w:ilvl w:val="0"/>
          <w:numId w:val="0"/>
        </w:numPr>
        <w:snapToGrid/>
        <w:spacing w:afterLines="0" w:line="560" w:lineRule="exact"/>
        <w:ind w:firstLine="640" w:firstLineChars="200"/>
        <w:rPr>
          <w:rFonts w:hint="eastAsia" w:ascii="楷体_GB2312" w:hAnsi="仿宋" w:eastAsia="楷体_GB2312"/>
          <w:b/>
          <w:sz w:val="32"/>
          <w:szCs w:val="32"/>
        </w:rPr>
      </w:pPr>
      <w:r>
        <w:rPr>
          <w:rFonts w:hint="eastAsia" w:ascii="仿宋" w:hAnsi="仿宋" w:eastAsia="仿宋" w:cs="宋体"/>
          <w:kern w:val="0"/>
          <w:sz w:val="32"/>
          <w:szCs w:val="32"/>
          <w:lang w:val="en-US" w:eastAsia="zh-CN"/>
        </w:rPr>
        <w:t>（2）加大县预测预算的公开力度。财政部门应全面掌握乡镇的资源与需求，建立各县基础数据的定期报告和财政部门定期核查机制，提高财政资金安排的准确性，使财政资金真实、公平、有效分配，防止出现虚报虚列，有名无实。对于每一笔财政资金应向大众公开，大众监督是县预算的重要监督力量，要充分发挥社会舆论对政府机关和国家工作人员的监督，培养大众监督的氛围，建立良好的大众监督机制，最终构成一套具有中国特色的全方位、多层次的县预算监督体系。</w:t>
      </w:r>
    </w:p>
    <w:p>
      <w:pPr>
        <w:snapToGrid w:val="0"/>
        <w:spacing w:line="520" w:lineRule="exact"/>
        <w:ind w:firstLine="640" w:firstLineChars="200"/>
        <w:rPr>
          <w:rFonts w:ascii="黑体" w:hAnsi="黑体" w:eastAsia="黑体"/>
          <w:sz w:val="32"/>
          <w:szCs w:val="32"/>
        </w:rPr>
      </w:pPr>
      <w:r>
        <w:rPr>
          <w:rFonts w:hint="eastAsia" w:ascii="黑体" w:hAnsi="黑体" w:eastAsia="黑体"/>
          <w:sz w:val="32"/>
          <w:szCs w:val="32"/>
        </w:rPr>
        <w:t>三、本年度部门决算等财务工作开展情况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（一）本部门财务管理、绩效管理、决算组织、编报、审核情况。</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（二）本部门决算及绩效信息公开工作，主管部门对所属单位决算批复和组织公开决算工作开展情况。</w:t>
      </w:r>
    </w:p>
    <w:p>
      <w:pPr>
        <w:snapToGrid w:val="0"/>
        <w:spacing w:line="580" w:lineRule="exact"/>
        <w:ind w:firstLine="640" w:firstLineChars="200"/>
        <w:rPr>
          <w:rFonts w:ascii="楷体_GB2312" w:hAnsi="仿宋" w:eastAsia="楷体_GB2312"/>
          <w:b/>
          <w:sz w:val="32"/>
          <w:szCs w:val="32"/>
        </w:rPr>
      </w:pPr>
      <w:r>
        <w:rPr>
          <w:rFonts w:hint="eastAsia" w:ascii="仿宋_GB2312" w:hAnsi="仿宋" w:eastAsia="仿宋_GB2312"/>
          <w:sz w:val="32"/>
          <w:szCs w:val="32"/>
        </w:rPr>
        <w:t>（三）</w:t>
      </w:r>
      <w:r>
        <w:rPr>
          <w:rFonts w:hint="eastAsia" w:ascii="楷体_GB2312" w:hAnsi="仿宋" w:eastAsia="楷体_GB2312"/>
          <w:b/>
          <w:sz w:val="32"/>
          <w:szCs w:val="32"/>
        </w:rPr>
        <w:t>对部门决算管理工作的意见和建议。</w:t>
      </w:r>
    </w:p>
    <w:p>
      <w:pPr>
        <w:ind w:firstLine="709"/>
        <w:rPr>
          <w:rFonts w:ascii="仿宋_GB2312" w:hAnsi="仿宋" w:eastAsia="仿宋_GB2312" w:cs="仿宋"/>
          <w:color w:val="000000"/>
          <w:sz w:val="32"/>
          <w:szCs w:val="32"/>
        </w:rPr>
      </w:pPr>
      <w:r>
        <w:rPr>
          <w:rFonts w:ascii="仿宋_GB2312" w:hAnsi="仿宋" w:eastAsia="仿宋_GB2312" w:cs="仿宋"/>
          <w:color w:val="000000"/>
          <w:sz w:val="32"/>
          <w:szCs w:val="32"/>
        </w:rPr>
        <w:t>1</w:t>
      </w:r>
      <w:r>
        <w:rPr>
          <w:rFonts w:hint="eastAsia" w:ascii="仿宋_GB2312" w:hAnsi="仿宋" w:eastAsia="仿宋_GB2312" w:cs="仿宋"/>
          <w:color w:val="000000"/>
          <w:sz w:val="32"/>
          <w:szCs w:val="32"/>
        </w:rPr>
        <w:t>.自行增加的审核公式和模板，请说明设置依据。</w:t>
      </w:r>
    </w:p>
    <w:p>
      <w:pPr>
        <w:ind w:firstLine="709"/>
        <w:rPr>
          <w:rFonts w:ascii="仿宋_GB2312" w:hAnsi="仿宋" w:eastAsia="仿宋_GB2312"/>
          <w:color w:val="000000"/>
          <w:sz w:val="32"/>
          <w:szCs w:val="32"/>
        </w:rPr>
      </w:pPr>
      <w:r>
        <w:rPr>
          <w:rFonts w:hint="eastAsia" w:ascii="仿宋_GB2312" w:hAnsi="仿宋" w:eastAsia="仿宋_GB2312" w:cs="仿宋"/>
          <w:color w:val="000000"/>
          <w:sz w:val="32"/>
          <w:szCs w:val="32"/>
        </w:rPr>
        <w:t>2.对</w:t>
      </w:r>
      <w:r>
        <w:rPr>
          <w:rFonts w:ascii="仿宋_GB2312" w:hAnsi="仿宋" w:eastAsia="仿宋_GB2312" w:cs="仿宋"/>
          <w:color w:val="000000"/>
          <w:sz w:val="32"/>
          <w:szCs w:val="32"/>
        </w:rPr>
        <w:t>部门决算</w:t>
      </w:r>
      <w:r>
        <w:rPr>
          <w:rFonts w:hint="eastAsia" w:ascii="仿宋_GB2312" w:hAnsi="仿宋" w:eastAsia="仿宋_GB2312" w:cs="仿宋"/>
          <w:color w:val="000000"/>
          <w:sz w:val="32"/>
          <w:szCs w:val="32"/>
        </w:rPr>
        <w:t>报表修订</w:t>
      </w:r>
      <w:r>
        <w:rPr>
          <w:rFonts w:ascii="仿宋_GB2312" w:hAnsi="仿宋" w:eastAsia="仿宋_GB2312" w:cs="仿宋"/>
          <w:color w:val="000000"/>
          <w:sz w:val="32"/>
          <w:szCs w:val="32"/>
        </w:rPr>
        <w:t>设计</w:t>
      </w:r>
      <w:r>
        <w:rPr>
          <w:rFonts w:hint="eastAsia" w:ascii="仿宋_GB2312" w:hAnsi="仿宋" w:eastAsia="仿宋_GB2312" w:cs="仿宋"/>
          <w:color w:val="000000"/>
          <w:sz w:val="32"/>
          <w:szCs w:val="32"/>
        </w:rPr>
        <w:t>的</w:t>
      </w:r>
      <w:r>
        <w:rPr>
          <w:rFonts w:ascii="仿宋_GB2312" w:hAnsi="仿宋" w:eastAsia="仿宋_GB2312" w:cs="仿宋"/>
          <w:color w:val="000000"/>
          <w:sz w:val="32"/>
          <w:szCs w:val="32"/>
        </w:rPr>
        <w:t>意见和建议，包括</w:t>
      </w:r>
      <w:r>
        <w:rPr>
          <w:rFonts w:hint="eastAsia" w:ascii="仿宋_GB2312" w:hAnsi="仿宋" w:eastAsia="仿宋_GB2312" w:cs="仿宋"/>
          <w:color w:val="000000"/>
          <w:sz w:val="32"/>
          <w:szCs w:val="32"/>
        </w:rPr>
        <w:t>表样</w:t>
      </w:r>
      <w:r>
        <w:rPr>
          <w:rFonts w:ascii="仿宋_GB2312" w:hAnsi="仿宋" w:eastAsia="仿宋_GB2312" w:cs="仿宋"/>
          <w:color w:val="000000"/>
          <w:sz w:val="32"/>
          <w:szCs w:val="32"/>
        </w:rPr>
        <w:t>、</w:t>
      </w:r>
      <w:r>
        <w:rPr>
          <w:rFonts w:hint="eastAsia" w:ascii="仿宋_GB2312" w:hAnsi="仿宋" w:eastAsia="仿宋_GB2312" w:cs="仿宋"/>
          <w:color w:val="000000"/>
          <w:sz w:val="32"/>
          <w:szCs w:val="32"/>
        </w:rPr>
        <w:t>指标设置、软件</w:t>
      </w:r>
      <w:r>
        <w:rPr>
          <w:rFonts w:ascii="仿宋_GB2312" w:hAnsi="仿宋" w:eastAsia="仿宋_GB2312" w:cs="仿宋"/>
          <w:color w:val="000000"/>
          <w:sz w:val="32"/>
          <w:szCs w:val="32"/>
        </w:rPr>
        <w:t>、</w:t>
      </w:r>
      <w:r>
        <w:rPr>
          <w:rFonts w:hint="eastAsia" w:ascii="仿宋_GB2312" w:hAnsi="仿宋" w:eastAsia="仿宋_GB2312" w:cs="仿宋"/>
          <w:color w:val="000000"/>
          <w:sz w:val="32"/>
          <w:szCs w:val="32"/>
        </w:rPr>
        <w:t>审核公式、模板和</w:t>
      </w:r>
      <w:r>
        <w:rPr>
          <w:rFonts w:ascii="仿宋_GB2312" w:hAnsi="仿宋" w:eastAsia="仿宋_GB2312" w:cs="仿宋"/>
          <w:color w:val="000000"/>
          <w:sz w:val="32"/>
          <w:szCs w:val="32"/>
        </w:rPr>
        <w:t>编</w:t>
      </w:r>
      <w:r>
        <w:rPr>
          <w:rFonts w:hint="eastAsia" w:ascii="仿宋_GB2312" w:hAnsi="仿宋" w:eastAsia="仿宋_GB2312" w:cs="仿宋"/>
          <w:color w:val="000000"/>
          <w:sz w:val="32"/>
          <w:szCs w:val="32"/>
        </w:rPr>
        <w:t>审</w:t>
      </w:r>
      <w:r>
        <w:rPr>
          <w:rFonts w:ascii="仿宋_GB2312" w:hAnsi="仿宋" w:eastAsia="仿宋_GB2312" w:cs="仿宋"/>
          <w:color w:val="000000"/>
          <w:sz w:val="32"/>
          <w:szCs w:val="32"/>
        </w:rPr>
        <w:t>问答</w:t>
      </w:r>
      <w:r>
        <w:rPr>
          <w:rFonts w:hint="eastAsia" w:ascii="仿宋_GB2312" w:hAnsi="仿宋" w:eastAsia="仿宋_GB2312" w:cs="仿宋"/>
          <w:color w:val="000000"/>
          <w:sz w:val="32"/>
          <w:szCs w:val="32"/>
        </w:rPr>
        <w:t>等，请列出并说明修改意见。</w:t>
      </w:r>
    </w:p>
    <w:p>
      <w:pPr>
        <w:snapToGrid w:val="0"/>
        <w:spacing w:line="580" w:lineRule="exact"/>
        <w:ind w:firstLine="640" w:firstLineChars="200"/>
        <w:rPr>
          <w:rFonts w:ascii="楷体_GB2312" w:hAnsi="仿宋" w:eastAsia="楷体_GB2312"/>
          <w:b/>
          <w:sz w:val="32"/>
          <w:szCs w:val="32"/>
        </w:rPr>
      </w:pPr>
      <w:r>
        <w:rPr>
          <w:rFonts w:hint="eastAsia" w:ascii="仿宋_GB2312" w:hAnsi="仿宋" w:eastAsia="仿宋_GB2312" w:cs="仿宋"/>
          <w:color w:val="000000"/>
          <w:sz w:val="32"/>
          <w:szCs w:val="32"/>
        </w:rPr>
        <w:t>3.对部门决算其他管理</w:t>
      </w:r>
      <w:r>
        <w:rPr>
          <w:rFonts w:ascii="仿宋_GB2312" w:hAnsi="仿宋" w:eastAsia="仿宋_GB2312" w:cs="仿宋"/>
          <w:color w:val="000000"/>
          <w:sz w:val="32"/>
          <w:szCs w:val="32"/>
        </w:rPr>
        <w:t>工作</w:t>
      </w:r>
      <w:r>
        <w:rPr>
          <w:rFonts w:hint="eastAsia" w:ascii="仿宋_GB2312" w:hAnsi="仿宋" w:eastAsia="仿宋_GB2312" w:cs="仿宋"/>
          <w:color w:val="000000"/>
          <w:sz w:val="32"/>
          <w:szCs w:val="32"/>
        </w:rPr>
        <w:t>的建议。例如对加强部门决算数据分析利用工作、部门决算信息化建设等建议。</w:t>
      </w:r>
    </w:p>
    <w:p>
      <w:pPr>
        <w:snapToGrid w:val="0"/>
        <w:spacing w:line="576" w:lineRule="exact"/>
        <w:ind w:firstLine="640" w:firstLineChars="200"/>
        <w:rPr>
          <w:rFonts w:hint="eastAsia" w:ascii="仿宋" w:hAnsi="仿宋" w:eastAsia="仿宋" w:cs="宋体"/>
          <w:kern w:val="0"/>
          <w:sz w:val="32"/>
          <w:szCs w:val="32"/>
          <w:lang w:val="en-US" w:eastAsia="zh-CN"/>
        </w:rPr>
      </w:pPr>
    </w:p>
    <w:p>
      <w:pPr>
        <w:snapToGrid w:val="0"/>
        <w:spacing w:line="520" w:lineRule="exact"/>
        <w:ind w:firstLine="640" w:firstLineChars="200"/>
        <w:rPr>
          <w:rFonts w:hint="eastAsia" w:ascii="仿宋" w:hAnsi="仿宋" w:eastAsia="仿宋" w:cs="宋体"/>
          <w:kern w:val="0"/>
          <w:sz w:val="32"/>
          <w:szCs w:val="32"/>
          <w:lang w:val="en-US" w:eastAsia="zh-CN"/>
        </w:rPr>
        <w:sectPr>
          <w:footerReference r:id="rId3" w:type="default"/>
          <w:pgSz w:w="11906" w:h="16838"/>
          <w:pgMar w:top="1440" w:right="1800" w:bottom="1440" w:left="1800" w:header="851" w:footer="992" w:gutter="0"/>
          <w:pgNumType w:fmt="decimal"/>
          <w:cols w:space="720" w:num="1"/>
          <w:docGrid w:type="lines" w:linePitch="312" w:charSpace="0"/>
        </w:sectPr>
      </w:pPr>
      <w:r>
        <w:rPr>
          <w:rFonts w:hint="eastAsia" w:ascii="仿宋_GB2312" w:hAnsi="仿宋" w:eastAsia="仿宋_GB2312"/>
          <w:sz w:val="32"/>
          <w:szCs w:val="32"/>
        </w:rPr>
        <w:t>注：收入支出预算执行情况分析可参考部门决算分析评价表（见软件查询模板）及行政事业单位财务分析指标（附后</w:t>
      </w:r>
    </w:p>
    <w:p>
      <w:pPr>
        <w:snapToGrid w:val="0"/>
        <w:rPr>
          <w:rFonts w:ascii="仿宋_GB2312" w:hAnsi="仿宋" w:eastAsia="仿宋_GB2312"/>
          <w:sz w:val="32"/>
          <w:szCs w:val="32"/>
        </w:rPr>
      </w:pPr>
      <w:r>
        <w:rPr>
          <w:rFonts w:ascii="仿宋_GB2312" w:hAnsi="仿宋" w:eastAsia="仿宋_GB2312"/>
          <w:sz w:val="32"/>
          <w:szCs w:val="32"/>
        </w:rPr>
        <w:br w:type="page"/>
      </w:r>
      <w:r>
        <w:rPr>
          <w:rFonts w:hint="eastAsia" w:ascii="仿宋_GB2312" w:hAnsi="仿宋" w:eastAsia="仿宋_GB2312"/>
          <w:sz w:val="32"/>
          <w:szCs w:val="32"/>
        </w:rPr>
        <w:t>附：</w:t>
      </w:r>
    </w:p>
    <w:p>
      <w:pPr>
        <w:snapToGrid w:val="0"/>
        <w:ind w:firstLine="640" w:firstLineChars="200"/>
        <w:jc w:val="center"/>
        <w:rPr>
          <w:rFonts w:ascii="华文中宋" w:hAnsi="华文中宋" w:eastAsia="华文中宋"/>
          <w:sz w:val="32"/>
          <w:szCs w:val="32"/>
        </w:rPr>
      </w:pPr>
    </w:p>
    <w:p>
      <w:pPr>
        <w:snapToGrid w:val="0"/>
        <w:ind w:firstLine="640" w:firstLineChars="200"/>
        <w:jc w:val="center"/>
        <w:rPr>
          <w:rFonts w:ascii="华文中宋" w:hAnsi="华文中宋" w:eastAsia="华文中宋"/>
          <w:sz w:val="32"/>
          <w:szCs w:val="32"/>
        </w:rPr>
      </w:pPr>
      <w:r>
        <w:rPr>
          <w:rFonts w:hint="eastAsia" w:ascii="华文中宋" w:hAnsi="华文中宋" w:eastAsia="华文中宋"/>
          <w:sz w:val="32"/>
          <w:szCs w:val="32"/>
        </w:rPr>
        <w:t>行政事业单位财务分析指标</w:t>
      </w:r>
    </w:p>
    <w:p>
      <w:pPr>
        <w:snapToGrid w:val="0"/>
        <w:ind w:firstLine="640" w:firstLineChars="200"/>
        <w:rPr>
          <w:rFonts w:ascii="仿宋_GB2312" w:hAnsi="仿宋" w:eastAsia="仿宋_GB2312"/>
          <w:sz w:val="32"/>
          <w:szCs w:val="32"/>
        </w:rPr>
      </w:pPr>
    </w:p>
    <w:p>
      <w:pPr>
        <w:snapToGrid w:val="0"/>
        <w:ind w:firstLine="640" w:firstLineChars="200"/>
        <w:rPr>
          <w:rFonts w:ascii="黑体" w:hAnsi="黑体" w:eastAsia="黑体"/>
          <w:sz w:val="32"/>
          <w:szCs w:val="32"/>
        </w:rPr>
      </w:pPr>
      <w:r>
        <w:rPr>
          <w:rFonts w:hint="eastAsia" w:ascii="黑体" w:hAnsi="黑体" w:eastAsia="黑体"/>
          <w:sz w:val="32"/>
          <w:szCs w:val="32"/>
        </w:rPr>
        <w:t>一、行政单位财务分析指标</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1.支出增长率，衡量行政单位支出的增长水平。计算公式为：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支出增长率＝(本期支出总额÷上期支出总额-1)×100%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2.当年预算支出完成率，衡量行政单位当年支出总预算及分项预算完成的程度。计算公式为：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当年预算支出完成率＝年终</w:t>
      </w:r>
      <w:r>
        <w:rPr>
          <w:rFonts w:hint="eastAsia" w:ascii="仿宋_GB2312" w:hAnsi="仿宋" w:eastAsia="仿宋_GB2312" w:cs="Times New Roman"/>
          <w:sz w:val="32"/>
          <w:szCs w:val="32"/>
        </w:rPr>
        <w:t>执行数÷</w:t>
      </w:r>
      <w:r>
        <w:rPr>
          <w:rFonts w:hint="eastAsia" w:ascii="仿宋_GB2312" w:hAnsi="仿宋" w:eastAsia="仿宋_GB2312" w:cs="Times New Roman"/>
          <w:sz w:val="32"/>
          <w:szCs w:val="32"/>
          <w:lang w:eastAsia="zh-CN"/>
        </w:rPr>
        <w:t>全年</w:t>
      </w:r>
      <w:r>
        <w:rPr>
          <w:rFonts w:hint="eastAsia" w:ascii="仿宋_GB2312" w:hAnsi="仿宋" w:eastAsia="仿宋_GB2312" w:cs="Times New Roman"/>
          <w:sz w:val="32"/>
          <w:szCs w:val="32"/>
        </w:rPr>
        <w:t>预</w:t>
      </w:r>
      <w:r>
        <w:rPr>
          <w:rFonts w:hint="eastAsia" w:ascii="仿宋_GB2312" w:hAnsi="仿宋" w:eastAsia="仿宋_GB2312"/>
          <w:sz w:val="32"/>
          <w:szCs w:val="32"/>
        </w:rPr>
        <w:t>算数×100%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年终执行数不含上年结转和结余支出数。</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3.人均开支，衡量行政单位人均年消耗经费水平。计算公式为：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人均开支＝本期支出数÷本期平均在职人员数×100%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4.项目支出占总支出的比率，衡量行政单位的支出结构。计算公式为：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项目支出比率=本期项目支出数÷本期支出总数×100%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5.人员支出、公用支出占总支出的比率，衡量行政单位的支出结构。计算公式为：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人员支出比率=本期人员支出数÷本期支出总数×100%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公用支出比率=本期公用支出数÷本期支出总数×100%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6.人均办公使用面积，衡量行政单位办公用房配备情况。计算公式为：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人均办公使用面积=本期末单位办公用房使用面积÷本期末在职人员数</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7.人车比例，衡量行政单位公务用车配备情况。计算公式为：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人车比例=本期末在职人员数÷本期末公务用车实有数:1</w:t>
      </w:r>
    </w:p>
    <w:p>
      <w:pPr>
        <w:snapToGrid w:val="0"/>
        <w:ind w:firstLine="640" w:firstLineChars="200"/>
        <w:rPr>
          <w:rFonts w:ascii="仿宋_GB2312" w:hAnsi="仿宋" w:eastAsia="仿宋_GB2312"/>
          <w:sz w:val="32"/>
          <w:szCs w:val="32"/>
        </w:rPr>
      </w:pPr>
    </w:p>
    <w:p>
      <w:pPr>
        <w:snapToGrid w:val="0"/>
        <w:ind w:firstLine="640" w:firstLineChars="200"/>
        <w:rPr>
          <w:rFonts w:ascii="黑体" w:hAnsi="黑体" w:eastAsia="黑体"/>
          <w:sz w:val="32"/>
          <w:szCs w:val="32"/>
        </w:rPr>
      </w:pPr>
      <w:r>
        <w:rPr>
          <w:rFonts w:hint="eastAsia" w:ascii="黑体" w:hAnsi="黑体" w:eastAsia="黑体"/>
          <w:sz w:val="32"/>
          <w:szCs w:val="32"/>
        </w:rPr>
        <w:t>二、事业单位财务分析指标</w:t>
      </w:r>
    </w:p>
    <w:p>
      <w:pPr>
        <w:snapToGrid w:val="0"/>
        <w:ind w:firstLine="640" w:firstLineChars="200"/>
        <w:rPr>
          <w:rFonts w:hint="eastAsia" w:ascii="仿宋_GB2312" w:hAnsi="仿宋" w:eastAsia="仿宋_GB2312" w:cs="Times New Roman"/>
          <w:sz w:val="32"/>
          <w:szCs w:val="32"/>
        </w:rPr>
      </w:pPr>
      <w:r>
        <w:rPr>
          <w:rFonts w:hint="eastAsia" w:ascii="仿宋_GB2312" w:hAnsi="仿宋" w:eastAsia="仿宋_GB2312"/>
          <w:sz w:val="32"/>
          <w:szCs w:val="32"/>
        </w:rPr>
        <w:t>1.预算收入和支出完成率，衡量事业单位收入和支出总预算及分项预算完成的程度。计算</w:t>
      </w:r>
      <w:r>
        <w:rPr>
          <w:rFonts w:hint="eastAsia" w:ascii="仿宋_GB2312" w:hAnsi="仿宋" w:eastAsia="仿宋_GB2312" w:cs="Times New Roman"/>
          <w:sz w:val="32"/>
          <w:szCs w:val="32"/>
        </w:rPr>
        <w:t>公式为：</w:t>
      </w:r>
    </w:p>
    <w:p>
      <w:pPr>
        <w:snapToGrid w:val="0"/>
        <w:ind w:firstLine="640" w:firstLineChars="200"/>
        <w:rPr>
          <w:rFonts w:hint="eastAsia" w:ascii="仿宋_GB2312" w:hAnsi="仿宋" w:eastAsia="仿宋_GB2312" w:cs="Times New Roman"/>
          <w:sz w:val="32"/>
          <w:szCs w:val="32"/>
        </w:rPr>
      </w:pPr>
      <w:r>
        <w:rPr>
          <w:rFonts w:hint="eastAsia" w:ascii="仿宋_GB2312" w:hAnsi="仿宋" w:eastAsia="仿宋_GB2312" w:cs="Times New Roman"/>
          <w:sz w:val="32"/>
          <w:szCs w:val="32"/>
        </w:rPr>
        <w:t>预算收入完成率＝年终执行数÷</w:t>
      </w:r>
      <w:r>
        <w:rPr>
          <w:rFonts w:hint="eastAsia" w:ascii="仿宋_GB2312" w:hAnsi="仿宋" w:eastAsia="仿宋_GB2312" w:cs="Times New Roman"/>
          <w:sz w:val="32"/>
          <w:szCs w:val="32"/>
          <w:lang w:eastAsia="zh-CN"/>
        </w:rPr>
        <w:t>全年</w:t>
      </w:r>
      <w:r>
        <w:rPr>
          <w:rFonts w:hint="eastAsia" w:ascii="仿宋_GB2312" w:hAnsi="仿宋" w:eastAsia="仿宋_GB2312" w:cs="Times New Roman"/>
          <w:sz w:val="32"/>
          <w:szCs w:val="32"/>
        </w:rPr>
        <w:t>预算数×100%</w:t>
      </w:r>
    </w:p>
    <w:p>
      <w:pPr>
        <w:snapToGrid w:val="0"/>
        <w:ind w:firstLine="640" w:firstLineChars="200"/>
        <w:rPr>
          <w:rFonts w:hint="eastAsia" w:ascii="仿宋_GB2312" w:hAnsi="仿宋" w:eastAsia="仿宋_GB2312" w:cs="Times New Roman"/>
          <w:sz w:val="32"/>
          <w:szCs w:val="32"/>
        </w:rPr>
      </w:pPr>
      <w:r>
        <w:rPr>
          <w:rFonts w:hint="eastAsia" w:ascii="仿宋_GB2312" w:hAnsi="仿宋" w:eastAsia="仿宋_GB2312" w:cs="Times New Roman"/>
          <w:sz w:val="32"/>
          <w:szCs w:val="32"/>
        </w:rPr>
        <w:t>年终执行数不含上年结转和结余收入数</w:t>
      </w:r>
    </w:p>
    <w:p>
      <w:pPr>
        <w:snapToGrid w:val="0"/>
        <w:ind w:firstLine="640" w:firstLineChars="200"/>
        <w:rPr>
          <w:rFonts w:ascii="仿宋_GB2312" w:hAnsi="仿宋" w:eastAsia="仿宋_GB2312"/>
          <w:sz w:val="32"/>
          <w:szCs w:val="32"/>
        </w:rPr>
      </w:pPr>
      <w:r>
        <w:rPr>
          <w:rFonts w:hint="eastAsia" w:ascii="仿宋_GB2312" w:hAnsi="仿宋" w:eastAsia="仿宋_GB2312" w:cs="Times New Roman"/>
          <w:sz w:val="32"/>
          <w:szCs w:val="32"/>
        </w:rPr>
        <w:t>预算支出完成率＝年终执行数÷</w:t>
      </w:r>
      <w:r>
        <w:rPr>
          <w:rFonts w:hint="eastAsia" w:ascii="仿宋_GB2312" w:hAnsi="仿宋" w:eastAsia="仿宋_GB2312" w:cs="Times New Roman"/>
          <w:sz w:val="32"/>
          <w:szCs w:val="32"/>
          <w:lang w:eastAsia="zh-CN"/>
        </w:rPr>
        <w:t>全年</w:t>
      </w:r>
      <w:r>
        <w:rPr>
          <w:rFonts w:hint="eastAsia" w:ascii="仿宋_GB2312" w:hAnsi="仿宋" w:eastAsia="仿宋_GB2312" w:cs="Times New Roman"/>
          <w:sz w:val="32"/>
          <w:szCs w:val="32"/>
        </w:rPr>
        <w:t>预算</w:t>
      </w:r>
      <w:r>
        <w:rPr>
          <w:rFonts w:hint="eastAsia" w:ascii="仿宋_GB2312" w:hAnsi="仿宋" w:eastAsia="仿宋_GB2312"/>
          <w:sz w:val="32"/>
          <w:szCs w:val="32"/>
        </w:rPr>
        <w:t>数×100%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年终执行数不含上年结转和结余支出数</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2.人员支出、公用支出占事业支出的比率，衡量事业单位事业支出结构。计算公式为：</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人员支出比率＝人员支出÷事业支出×100%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公用支出比率＝公用支出÷事业支出×100%</w:t>
      </w: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3.人均基本支出，衡量事业单位按照实际在编人数平均的基本支出水平。计算公式为：</w:t>
      </w:r>
    </w:p>
    <w:p>
      <w:pPr>
        <w:snapToGrid w:val="0"/>
        <w:ind w:firstLine="640" w:firstLineChars="200"/>
        <w:rPr>
          <w:rFonts w:ascii="仿宋_GB2312" w:hAnsi="仿宋" w:eastAsia="仿宋_GB2312"/>
          <w:b/>
          <w:sz w:val="32"/>
          <w:szCs w:val="32"/>
        </w:rPr>
      </w:pPr>
      <w:r>
        <w:rPr>
          <w:rFonts w:hint="eastAsia" w:ascii="仿宋_GB2312" w:hAnsi="仿宋" w:eastAsia="仿宋_GB2312"/>
          <w:sz w:val="32"/>
          <w:szCs w:val="32"/>
        </w:rPr>
        <w:t>人均基本支出＝（基本支出-离退休人员支出）÷实际在编人数</w:t>
      </w:r>
    </w:p>
    <w:p>
      <w:pPr>
        <w:snapToGrid w:val="0"/>
        <w:ind w:firstLine="640" w:firstLineChars="200"/>
        <w:rPr>
          <w:rFonts w:ascii="仿宋_GB2312" w:hAnsi="仿宋" w:eastAsia="仿宋_GB2312"/>
          <w:sz w:val="32"/>
          <w:szCs w:val="32"/>
        </w:rPr>
      </w:pPr>
    </w:p>
    <w:p>
      <w:pPr>
        <w:snapToGrid w:val="0"/>
        <w:ind w:firstLine="640" w:firstLineChars="200"/>
        <w:rPr>
          <w:rFonts w:ascii="仿宋_GB2312" w:hAnsi="仿宋" w:eastAsia="仿宋_GB2312"/>
          <w:sz w:val="32"/>
          <w:szCs w:val="32"/>
        </w:rPr>
      </w:pPr>
      <w:r>
        <w:rPr>
          <w:rFonts w:hint="eastAsia" w:ascii="仿宋_GB2312" w:hAnsi="仿宋" w:eastAsia="仿宋_GB2312"/>
          <w:sz w:val="32"/>
          <w:szCs w:val="32"/>
        </w:rPr>
        <w:t>此外，行业事业单位还可根据相关财务制度规定和分析需要增加相关分析指标，如：</w:t>
      </w:r>
    </w:p>
    <w:p>
      <w:pPr>
        <w:ind w:firstLine="707" w:firstLineChars="221"/>
        <w:rPr>
          <w:rFonts w:ascii="仿宋_GB2312" w:hAnsi="仿宋" w:eastAsia="仿宋_GB2312"/>
          <w:sz w:val="32"/>
          <w:szCs w:val="32"/>
        </w:rPr>
      </w:pPr>
      <w:r>
        <w:rPr>
          <w:rFonts w:hint="eastAsia" w:ascii="仿宋_GB2312" w:hAnsi="仿宋" w:eastAsia="仿宋_GB2312"/>
          <w:sz w:val="32"/>
          <w:szCs w:val="32"/>
        </w:rPr>
        <w:t>1.财政拨款依存度, 衡量部门（单位）对财政拨款的依赖程度。</w:t>
      </w:r>
    </w:p>
    <w:p>
      <w:pPr>
        <w:widowControl/>
        <w:ind w:firstLine="640" w:firstLineChars="200"/>
        <w:textAlignment w:val="center"/>
        <w:rPr>
          <w:color w:val="0000FF"/>
        </w:rPr>
      </w:pPr>
      <w:r>
        <w:rPr>
          <w:rFonts w:hint="eastAsia" w:ascii="仿宋_GB2312" w:hAnsi="仿宋" w:eastAsia="仿宋_GB2312"/>
          <w:sz w:val="32"/>
          <w:szCs w:val="32"/>
        </w:rPr>
        <w:t>财政拨款依存度＝财政拨款收入÷收入总额×100%</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Arial" w:hAnsi="Arial" w:cs="Arial"/>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
                            <w:jc w:val="cente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lang w:val="zh-CN"/>
                            </w:rPr>
                            <w:t>2</w:t>
                          </w:r>
                          <w:r>
                            <w:rPr>
                              <w:rFonts w:ascii="Arial" w:hAnsi="Arial" w:cs="Arial"/>
                              <w:sz w:val="24"/>
                              <w:szCs w:val="24"/>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jMSVG3AQAAVQMAAA4AAABkcnMvZTJvRG9jLnhtbK1TzY7TMBC+&#10;I/EOlu802WoXoqjpCrRahIQAaZcHcB27seQ/zbhN+gLwBpy4cOe5+hyM3aaL4Ia4ODOe8TffNzNZ&#10;3U7Osr0CNMF3/GpRc6a8DL3x245/frx/0XCGSfhe2OBVxw8K+e36+bPVGFu1DEOwvQJGIB7bMXZ8&#10;SCm2VYVyUE7gIkTlKagDOJHIhW3VgxgJ3dlqWdcvqzFAHyFIhUi3d6cgXxd8rZVMH7VGlZjtOHFL&#10;5YRybvJZrVei3YKIg5FnGuIfWDhhPBW9QN2JJNgOzF9QzkgIGHRayOCqoLWRqmggNVf1H2oeBhFV&#10;0ULNwXhpE/4/WPlh/wmY6Tt+zZkXjkZ0/Pb1+P3n8ccXdp3bM0ZsKeshUl6a3oSJxjzfI11m1ZMG&#10;l7+kh1GcGn24NFdNicn8qFk2TU0hSbHZIfzq6XkETG9VcCwbHQeaXmmq2L/HdEqdU3I1H+6NtWWC&#10;1rORUG+aVzflxSVE6NZTkazixDZbadpMZ2mb0B9I2Ugr0HFPO8qZfeepw3lbZgNmYzMbuwhmO5R1&#10;ylQwvt4lolNY5gon2HNhml3Red6zvBy/+yXr6W9Y/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uMxJUbcBAABVAwAADgAAAAAAAAABACAAAAAiAQAAZHJzL2Uyb0RvYy54bWxQSwUGAAAAAAYA&#10;BgBZAQAASwUAAAAA&#10;">
              <v:fill on="f" focussize="0,0"/>
              <v:stroke on="f" weight="1.25pt"/>
              <v:imagedata o:title=""/>
              <o:lock v:ext="edit" aspectratio="f"/>
              <v:textbox inset="0mm,0mm,0mm,0mm" style="mso-fit-shape-to-text:t;">
                <w:txbxContent>
                  <w:p>
                    <w:pPr>
                      <w:pStyle w:val="3"/>
                      <w:jc w:val="cente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lang w:val="zh-CN"/>
                      </w:rPr>
                      <w:t>2</w:t>
                    </w:r>
                    <w:r>
                      <w:rPr>
                        <w:rFonts w:ascii="Arial" w:hAnsi="Arial" w:cs="Arial"/>
                        <w:sz w:val="24"/>
                        <w:szCs w:val="24"/>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E1773"/>
    <w:rsid w:val="03044FC9"/>
    <w:rsid w:val="06693D01"/>
    <w:rsid w:val="07AD5E6F"/>
    <w:rsid w:val="07B107CB"/>
    <w:rsid w:val="07CD7C97"/>
    <w:rsid w:val="083F4CD5"/>
    <w:rsid w:val="092C1016"/>
    <w:rsid w:val="09646A02"/>
    <w:rsid w:val="09BF7CDA"/>
    <w:rsid w:val="0AAE6186"/>
    <w:rsid w:val="0D8256A8"/>
    <w:rsid w:val="0E772D33"/>
    <w:rsid w:val="11755C50"/>
    <w:rsid w:val="129E11D6"/>
    <w:rsid w:val="137F7B92"/>
    <w:rsid w:val="1869193F"/>
    <w:rsid w:val="18CA1283"/>
    <w:rsid w:val="1B0B13D3"/>
    <w:rsid w:val="1B43291B"/>
    <w:rsid w:val="1C99656B"/>
    <w:rsid w:val="1D8E68DD"/>
    <w:rsid w:val="1EFA1543"/>
    <w:rsid w:val="1F335BCF"/>
    <w:rsid w:val="1F3802BD"/>
    <w:rsid w:val="20F85F56"/>
    <w:rsid w:val="2629476B"/>
    <w:rsid w:val="27084A19"/>
    <w:rsid w:val="2A64640A"/>
    <w:rsid w:val="2A7E562A"/>
    <w:rsid w:val="2AC375D4"/>
    <w:rsid w:val="2C7D0233"/>
    <w:rsid w:val="2DF042B4"/>
    <w:rsid w:val="31B52A86"/>
    <w:rsid w:val="33BE4DDD"/>
    <w:rsid w:val="34117602"/>
    <w:rsid w:val="34684D49"/>
    <w:rsid w:val="353868D0"/>
    <w:rsid w:val="363B44C3"/>
    <w:rsid w:val="37C4673A"/>
    <w:rsid w:val="386F5E66"/>
    <w:rsid w:val="390414E4"/>
    <w:rsid w:val="3AA840F1"/>
    <w:rsid w:val="3DFA2EB5"/>
    <w:rsid w:val="3E42660A"/>
    <w:rsid w:val="3EF21DDE"/>
    <w:rsid w:val="3F424B14"/>
    <w:rsid w:val="407F58F4"/>
    <w:rsid w:val="4420119C"/>
    <w:rsid w:val="448636F5"/>
    <w:rsid w:val="45230F44"/>
    <w:rsid w:val="45A05606"/>
    <w:rsid w:val="48474F49"/>
    <w:rsid w:val="4A2D4613"/>
    <w:rsid w:val="4C8D1398"/>
    <w:rsid w:val="4DCB03CA"/>
    <w:rsid w:val="4FF21877"/>
    <w:rsid w:val="53FC2A7A"/>
    <w:rsid w:val="5491359E"/>
    <w:rsid w:val="57EC09FA"/>
    <w:rsid w:val="5C4F5F6F"/>
    <w:rsid w:val="5E39479E"/>
    <w:rsid w:val="5E3B6CB0"/>
    <w:rsid w:val="5FA36AB1"/>
    <w:rsid w:val="6129748A"/>
    <w:rsid w:val="618E7E26"/>
    <w:rsid w:val="62483940"/>
    <w:rsid w:val="630A6E47"/>
    <w:rsid w:val="64AE38D2"/>
    <w:rsid w:val="655F16CC"/>
    <w:rsid w:val="65D266E3"/>
    <w:rsid w:val="68815DFE"/>
    <w:rsid w:val="68D51CA5"/>
    <w:rsid w:val="69226A79"/>
    <w:rsid w:val="6B6F018F"/>
    <w:rsid w:val="6BFF1513"/>
    <w:rsid w:val="6C054650"/>
    <w:rsid w:val="6D1F7993"/>
    <w:rsid w:val="700C2451"/>
    <w:rsid w:val="70AE3508"/>
    <w:rsid w:val="723E2D6C"/>
    <w:rsid w:val="723E71CE"/>
    <w:rsid w:val="74DB6895"/>
    <w:rsid w:val="754A7F1E"/>
    <w:rsid w:val="7B837885"/>
    <w:rsid w:val="7FBD376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Body Text First Indent 2"/>
    <w:basedOn w:val="2"/>
    <w:next w:val="2"/>
    <w:qFormat/>
    <w:uiPriority w:val="0"/>
    <w:pPr>
      <w:widowControl/>
      <w:spacing w:line="560" w:lineRule="exact"/>
      <w:ind w:firstLine="200" w:firstLineChars="200"/>
    </w:pPr>
    <w:rPr>
      <w:rFonts w:eastAsia="仿宋_GB2312"/>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QQ\Downloads\&#21487;&#25191;&#34892;&#25351;&#26631;&#25191;&#34892;&#24773;&#20917;&#34920;(6).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QQ\Downloads\&#21487;&#25191;&#34892;&#25351;&#26631;&#25191;&#34892;&#24773;&#20917;&#34920;(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'[可执行指标执行情况表(6).xlsx]Sheet1'!$K$26</c:f>
              <c:strCache>
                <c:ptCount val="1"/>
                <c:pt idx="0">
                  <c:v>人员经费</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lt1">
                        <a:lumMod val="8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lt1">
                          <a:lumMod val="95000"/>
                          <a:alpha val="54000"/>
                        </a:schemeClr>
                      </a:solidFill>
                    </a:ln>
                    <a:effectLst/>
                  </c:spPr>
                </c15:leaderLines>
              </c:ext>
            </c:extLst>
          </c:dLbls>
          <c:cat>
            <c:strRef>
              <c:f>'[可执行指标执行情况表(6).xlsx]Sheet1'!$L$25:$O$25</c:f>
              <c:strCache>
                <c:ptCount val="4"/>
                <c:pt idx="0">
                  <c:v>今年支出</c:v>
                </c:pt>
                <c:pt idx="1">
                  <c:v>上年支出</c:v>
                </c:pt>
                <c:pt idx="2">
                  <c:v>增减</c:v>
                </c:pt>
                <c:pt idx="3">
                  <c:v>增减率</c:v>
                </c:pt>
              </c:strCache>
            </c:strRef>
          </c:cat>
          <c:val>
            <c:numRef>
              <c:f>'[可执行指标执行情况表(6).xlsx]Sheet1'!$L$26:$O$26</c:f>
              <c:numCache>
                <c:formatCode>General</c:formatCode>
                <c:ptCount val="4"/>
                <c:pt idx="0">
                  <c:v>1041199.23</c:v>
                </c:pt>
                <c:pt idx="1" c:formatCode="#,##0.00">
                  <c:v>1361976.48</c:v>
                </c:pt>
                <c:pt idx="2" c:formatCode="#,##0.00">
                  <c:v>-320777.25</c:v>
                </c:pt>
                <c:pt idx="3">
                  <c:v>-23.55</c:v>
                </c:pt>
              </c:numCache>
            </c:numRef>
          </c:val>
        </c:ser>
        <c:ser>
          <c:idx val="1"/>
          <c:order val="1"/>
          <c:tx>
            <c:strRef>
              <c:f>'[可执行指标执行情况表(6).xlsx]Sheet1'!$K$27</c:f>
              <c:strCache>
                <c:ptCount val="1"/>
                <c:pt idx="0">
                  <c:v>公用经费</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lt1">
                        <a:lumMod val="8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lt1">
                          <a:lumMod val="95000"/>
                          <a:alpha val="54000"/>
                        </a:schemeClr>
                      </a:solidFill>
                    </a:ln>
                    <a:effectLst/>
                  </c:spPr>
                </c15:leaderLines>
              </c:ext>
            </c:extLst>
          </c:dLbls>
          <c:cat>
            <c:strRef>
              <c:f>'[可执行指标执行情况表(6).xlsx]Sheet1'!$L$25:$O$25</c:f>
              <c:strCache>
                <c:ptCount val="4"/>
                <c:pt idx="0">
                  <c:v>今年支出</c:v>
                </c:pt>
                <c:pt idx="1">
                  <c:v>上年支出</c:v>
                </c:pt>
                <c:pt idx="2">
                  <c:v>增减</c:v>
                </c:pt>
                <c:pt idx="3">
                  <c:v>增减率</c:v>
                </c:pt>
              </c:strCache>
            </c:strRef>
          </c:cat>
          <c:val>
            <c:numRef>
              <c:f>'[可执行指标执行情况表(6).xlsx]Sheet1'!$L$27:$O$27</c:f>
              <c:numCache>
                <c:formatCode>General</c:formatCode>
                <c:ptCount val="4"/>
                <c:pt idx="0">
                  <c:v>36413.77</c:v>
                </c:pt>
                <c:pt idx="1" c:formatCode="#,##0.00">
                  <c:v>39771.52</c:v>
                </c:pt>
                <c:pt idx="2" c:formatCode="#,##0.00">
                  <c:v>-3357.75</c:v>
                </c:pt>
                <c:pt idx="3">
                  <c:v>-8.44</c:v>
                </c:pt>
              </c:numCache>
            </c:numRef>
          </c:val>
        </c:ser>
        <c:ser>
          <c:idx val="2"/>
          <c:order val="2"/>
          <c:tx>
            <c:strRef>
              <c:f>'[可执行指标执行情况表(6).xlsx]Sheet1'!$K$28</c:f>
              <c:strCache>
                <c:ptCount val="1"/>
                <c:pt idx="0">
                  <c:v>项目支出</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lt1">
                        <a:lumMod val="8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lt1">
                          <a:lumMod val="95000"/>
                          <a:alpha val="54000"/>
                        </a:schemeClr>
                      </a:solidFill>
                    </a:ln>
                    <a:effectLst/>
                  </c:spPr>
                </c15:leaderLines>
              </c:ext>
            </c:extLst>
          </c:dLbls>
          <c:cat>
            <c:strRef>
              <c:f>'[可执行指标执行情况表(6).xlsx]Sheet1'!$L$25:$O$25</c:f>
              <c:strCache>
                <c:ptCount val="4"/>
                <c:pt idx="0">
                  <c:v>今年支出</c:v>
                </c:pt>
                <c:pt idx="1">
                  <c:v>上年支出</c:v>
                </c:pt>
                <c:pt idx="2">
                  <c:v>增减</c:v>
                </c:pt>
                <c:pt idx="3">
                  <c:v>增减率</c:v>
                </c:pt>
              </c:strCache>
            </c:strRef>
          </c:cat>
          <c:val>
            <c:numRef>
              <c:f>'[可执行指标执行情况表(6).xlsx]Sheet1'!$L$28:$O$28</c:f>
              <c:numCache>
                <c:formatCode>#,##0.00</c:formatCode>
                <c:ptCount val="4"/>
                <c:pt idx="0">
                  <c:v>73508</c:v>
                </c:pt>
                <c:pt idx="1">
                  <c:v>28994.85</c:v>
                </c:pt>
                <c:pt idx="2">
                  <c:v>44513.15</c:v>
                </c:pt>
                <c:pt idx="3" c:formatCode="General">
                  <c:v>153.52</c:v>
                </c:pt>
              </c:numCache>
            </c:numRef>
          </c:val>
        </c:ser>
        <c:dLbls>
          <c:showLegendKey val="0"/>
          <c:showVal val="1"/>
          <c:showCatName val="0"/>
          <c:showSerName val="0"/>
          <c:showPercent val="0"/>
          <c:showBubbleSize val="0"/>
        </c:dLbls>
        <c:gapWidth val="100"/>
        <c:overlap val="-24"/>
        <c:axId val="859189089"/>
        <c:axId val="416470158"/>
      </c:barChart>
      <c:catAx>
        <c:axId val="859189089"/>
        <c:scaling>
          <c:orientation val="minMax"/>
        </c:scaling>
        <c:delete val="0"/>
        <c:axPos val="b"/>
        <c:majorTickMark val="out"/>
        <c:minorTickMark val="none"/>
        <c:tickLblPos val="nextTo"/>
        <c:spPr>
          <a:noFill/>
          <a:ln w="12700" cap="flat" cmpd="sng" algn="ctr">
            <a:solidFill>
              <a:schemeClr val="lt1">
                <a:lumMod val="95000"/>
                <a:alpha val="54000"/>
              </a:schemeClr>
            </a:solidFill>
            <a:round/>
          </a:ln>
          <a:effectLst/>
        </c:spPr>
        <c:txPr>
          <a:bodyPr rot="-60000000" spcFirstLastPara="0" vertOverflow="ellipsis" vert="horz" wrap="square" anchor="ctr" anchorCtr="1"/>
          <a:lstStyle/>
          <a:p>
            <a:pPr>
              <a:defRPr lang="zh-CN" sz="900" b="0" i="0" u="none" strike="noStrike" kern="1200" baseline="0">
                <a:solidFill>
                  <a:schemeClr val="lt1">
                    <a:lumMod val="85000"/>
                  </a:schemeClr>
                </a:solidFill>
                <a:latin typeface="+mn-lt"/>
                <a:ea typeface="+mn-ea"/>
                <a:cs typeface="+mn-cs"/>
              </a:defRPr>
            </a:pPr>
          </a:p>
        </c:txPr>
        <c:crossAx val="416470158"/>
        <c:crosses val="autoZero"/>
        <c:auto val="1"/>
        <c:lblAlgn val="ctr"/>
        <c:lblOffset val="100"/>
        <c:noMultiLvlLbl val="0"/>
      </c:catAx>
      <c:valAx>
        <c:axId val="416470158"/>
        <c:scaling>
          <c:orientation val="minMax"/>
        </c:scaling>
        <c:delete val="0"/>
        <c:axPos val="l"/>
        <c:majorGridlines>
          <c:spPr>
            <a:ln w="9525" cap="flat" cmpd="sng" algn="ctr">
              <a:solidFill>
                <a:schemeClr val="lt1">
                  <a:lumMod val="95000"/>
                  <a:alpha val="10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lt1">
                    <a:lumMod val="85000"/>
                  </a:schemeClr>
                </a:solidFill>
                <a:latin typeface="+mn-lt"/>
                <a:ea typeface="+mn-ea"/>
                <a:cs typeface="+mn-cs"/>
              </a:defRPr>
            </a:pPr>
          </a:p>
        </c:txPr>
        <c:crossAx val="859189089"/>
        <c:crosses val="autoZero"/>
        <c:crossBetween val="between"/>
      </c:valAx>
      <c:dTable>
        <c:showHorzBorder val="1"/>
        <c:showVertBorder val="1"/>
        <c:showOutline val="1"/>
        <c:showKeys val="1"/>
        <c:spPr>
          <a:noFill/>
          <a:ln w="9525">
            <a:solidFill>
              <a:schemeClr val="lt1">
                <a:lumMod val="95000"/>
                <a:alpha val="54000"/>
              </a:schemeClr>
            </a:solidFill>
          </a:ln>
          <a:effectLst/>
        </c:spPr>
        <c:txPr>
          <a:bodyPr rot="0" spcFirstLastPara="0" vertOverflow="ellipsis" vert="horz" wrap="square" anchor="ctr" anchorCtr="1"/>
          <a:lstStyle/>
          <a:p>
            <a:pPr>
              <a:defRPr lang="zh-CN" sz="900" b="0" i="0" u="none" strike="noStrike" kern="1200" baseline="0">
                <a:solidFill>
                  <a:schemeClr val="lt1">
                    <a:lumMod val="85000"/>
                  </a:schemeClr>
                </a:solidFill>
                <a:latin typeface="+mn-lt"/>
                <a:ea typeface="+mn-ea"/>
                <a:cs typeface="+mn-cs"/>
              </a:defRPr>
            </a:pPr>
          </a:p>
        </c:txPr>
      </c:dTable>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lt1">
                  <a:lumMod val="85000"/>
                </a:schemeClr>
              </a:solidFill>
              <a:latin typeface="+mn-lt"/>
              <a:ea typeface="+mn-ea"/>
              <a:cs typeface="+mn-cs"/>
            </a:defRPr>
          </a:pPr>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gradFill>
    <a:ln>
      <a:noFill/>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altLang="en-US"/>
              <a:t>本年收入和支出</a:t>
            </a:r>
            <a:endParaRPr lang="en-US" altLang="zh-CN"/>
          </a:p>
        </c:rich>
      </c:tx>
      <c:layout/>
      <c:overlay val="0"/>
      <c:spPr>
        <a:noFill/>
        <a:ln>
          <a:noFill/>
        </a:ln>
        <a:effectLst/>
      </c:spPr>
    </c:title>
    <c:autoTitleDeleted val="0"/>
    <c:plotArea>
      <c:layout/>
      <c:barChart>
        <c:barDir val="col"/>
        <c:grouping val="clustered"/>
        <c:varyColors val="0"/>
        <c:ser>
          <c:idx val="0"/>
          <c:order val="0"/>
          <c:tx>
            <c:strRef>
              <c:f>'[可执行指标执行情况表(6).xlsx]Sheet1'!$K$41</c:f>
              <c:strCache>
                <c:ptCount val="1"/>
                <c:pt idx="0">
                  <c:v>人员经费</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lt1">
                        <a:lumMod val="8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lt1">
                          <a:lumMod val="95000"/>
                          <a:alpha val="54000"/>
                        </a:schemeClr>
                      </a:solidFill>
                    </a:ln>
                    <a:effectLst/>
                  </c:spPr>
                </c15:leaderLines>
              </c:ext>
            </c:extLst>
          </c:dLbls>
          <c:cat>
            <c:strRef>
              <c:f>'[可执行指标执行情况表(6).xlsx]Sheet1'!$L$40:$N$40</c:f>
              <c:strCache>
                <c:ptCount val="3"/>
                <c:pt idx="0">
                  <c:v>本年收入</c:v>
                </c:pt>
                <c:pt idx="1">
                  <c:v>本年支出</c:v>
                </c:pt>
                <c:pt idx="2">
                  <c:v>差异</c:v>
                </c:pt>
              </c:strCache>
            </c:strRef>
          </c:cat>
          <c:val>
            <c:numRef>
              <c:f>'[可执行指标执行情况表(6).xlsx]Sheet1'!$L$41:$N$41</c:f>
              <c:numCache>
                <c:formatCode>General</c:formatCode>
                <c:ptCount val="3"/>
                <c:pt idx="0">
                  <c:v>1041199.23</c:v>
                </c:pt>
                <c:pt idx="1" c:formatCode="#,##0.00">
                  <c:v>1361976.48</c:v>
                </c:pt>
                <c:pt idx="2" c:formatCode="#,##0.00">
                  <c:v>-320777.25</c:v>
                </c:pt>
              </c:numCache>
            </c:numRef>
          </c:val>
        </c:ser>
        <c:ser>
          <c:idx val="1"/>
          <c:order val="1"/>
          <c:tx>
            <c:strRef>
              <c:f>'[可执行指标执行情况表(6).xlsx]Sheet1'!$K$42</c:f>
              <c:strCache>
                <c:ptCount val="1"/>
                <c:pt idx="0">
                  <c:v>公用经费</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lt1">
                        <a:lumMod val="8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lt1">
                          <a:lumMod val="95000"/>
                          <a:alpha val="54000"/>
                        </a:schemeClr>
                      </a:solidFill>
                    </a:ln>
                    <a:effectLst/>
                  </c:spPr>
                </c15:leaderLines>
              </c:ext>
            </c:extLst>
          </c:dLbls>
          <c:cat>
            <c:strRef>
              <c:f>'[可执行指标执行情况表(6).xlsx]Sheet1'!$L$40:$N$40</c:f>
              <c:strCache>
                <c:ptCount val="3"/>
                <c:pt idx="0">
                  <c:v>本年收入</c:v>
                </c:pt>
                <c:pt idx="1">
                  <c:v>本年支出</c:v>
                </c:pt>
                <c:pt idx="2">
                  <c:v>差异</c:v>
                </c:pt>
              </c:strCache>
            </c:strRef>
          </c:cat>
          <c:val>
            <c:numRef>
              <c:f>'[可执行指标执行情况表(6).xlsx]Sheet1'!$L$42:$N$42</c:f>
              <c:numCache>
                <c:formatCode>General</c:formatCode>
                <c:ptCount val="3"/>
                <c:pt idx="0">
                  <c:v>36413.77</c:v>
                </c:pt>
                <c:pt idx="1" c:formatCode="#,##0.00">
                  <c:v>39771.52</c:v>
                </c:pt>
                <c:pt idx="2" c:formatCode="#,##0.00">
                  <c:v>-3357.75</c:v>
                </c:pt>
              </c:numCache>
            </c:numRef>
          </c:val>
        </c:ser>
        <c:ser>
          <c:idx val="2"/>
          <c:order val="2"/>
          <c:tx>
            <c:strRef>
              <c:f>'[可执行指标执行情况表(6).xlsx]Sheet1'!$K$43</c:f>
              <c:strCache>
                <c:ptCount val="1"/>
                <c:pt idx="0">
                  <c:v>项目支出</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lt1">
                        <a:lumMod val="8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lt1">
                          <a:lumMod val="95000"/>
                          <a:alpha val="54000"/>
                        </a:schemeClr>
                      </a:solidFill>
                    </a:ln>
                    <a:effectLst/>
                  </c:spPr>
                </c15:leaderLines>
              </c:ext>
            </c:extLst>
          </c:dLbls>
          <c:cat>
            <c:strRef>
              <c:f>'[可执行指标执行情况表(6).xlsx]Sheet1'!$L$40:$N$40</c:f>
              <c:strCache>
                <c:ptCount val="3"/>
                <c:pt idx="0">
                  <c:v>本年收入</c:v>
                </c:pt>
                <c:pt idx="1">
                  <c:v>本年支出</c:v>
                </c:pt>
                <c:pt idx="2">
                  <c:v>差异</c:v>
                </c:pt>
              </c:strCache>
            </c:strRef>
          </c:cat>
          <c:val>
            <c:numRef>
              <c:f>'[可执行指标执行情况表(6).xlsx]Sheet1'!$L$43:$N$43</c:f>
              <c:numCache>
                <c:formatCode>#,##0.00</c:formatCode>
                <c:ptCount val="3"/>
                <c:pt idx="0">
                  <c:v>73508</c:v>
                </c:pt>
                <c:pt idx="1">
                  <c:v>28994.85</c:v>
                </c:pt>
                <c:pt idx="2">
                  <c:v>44513.15</c:v>
                </c:pt>
              </c:numCache>
            </c:numRef>
          </c:val>
        </c:ser>
        <c:dLbls>
          <c:showLegendKey val="0"/>
          <c:showVal val="1"/>
          <c:showCatName val="0"/>
          <c:showSerName val="0"/>
          <c:showPercent val="0"/>
          <c:showBubbleSize val="0"/>
        </c:dLbls>
        <c:gapWidth val="100"/>
        <c:overlap val="-24"/>
        <c:axId val="370918813"/>
        <c:axId val="789684037"/>
      </c:barChart>
      <c:catAx>
        <c:axId val="370918813"/>
        <c:scaling>
          <c:orientation val="minMax"/>
        </c:scaling>
        <c:delete val="0"/>
        <c:axPos val="b"/>
        <c:majorTickMark val="none"/>
        <c:minorTickMark val="none"/>
        <c:tickLblPos val="nextTo"/>
        <c:spPr>
          <a:noFill/>
          <a:ln w="12700" cap="flat" cmpd="sng" algn="ctr">
            <a:solidFill>
              <a:schemeClr val="lt1">
                <a:lumMod val="95000"/>
                <a:alpha val="54000"/>
              </a:schemeClr>
            </a:solidFill>
            <a:round/>
          </a:ln>
          <a:effectLst/>
        </c:spPr>
        <c:txPr>
          <a:bodyPr rot="-60000000" spcFirstLastPara="0" vertOverflow="ellipsis" vert="horz" wrap="square" anchor="ctr" anchorCtr="1"/>
          <a:lstStyle/>
          <a:p>
            <a:pPr>
              <a:defRPr lang="zh-CN" sz="900" b="0" i="0" u="none" strike="noStrike" kern="1200" baseline="0">
                <a:solidFill>
                  <a:schemeClr val="lt1">
                    <a:lumMod val="85000"/>
                  </a:schemeClr>
                </a:solidFill>
                <a:latin typeface="+mn-lt"/>
                <a:ea typeface="+mn-ea"/>
                <a:cs typeface="+mn-cs"/>
              </a:defRPr>
            </a:pPr>
          </a:p>
        </c:txPr>
        <c:crossAx val="789684037"/>
        <c:crosses val="autoZero"/>
        <c:auto val="1"/>
        <c:lblAlgn val="ctr"/>
        <c:lblOffset val="100"/>
        <c:noMultiLvlLbl val="0"/>
      </c:catAx>
      <c:valAx>
        <c:axId val="789684037"/>
        <c:scaling>
          <c:orientation val="minMax"/>
        </c:scaling>
        <c:delete val="0"/>
        <c:axPos val="l"/>
        <c:majorGridlines>
          <c:spPr>
            <a:ln w="9525" cap="flat" cmpd="sng" algn="ctr">
              <a:solidFill>
                <a:schemeClr val="lt1">
                  <a:lumMod val="95000"/>
                  <a:alpha val="10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lt1">
                    <a:lumMod val="85000"/>
                  </a:schemeClr>
                </a:solidFill>
                <a:latin typeface="+mn-lt"/>
                <a:ea typeface="+mn-ea"/>
                <a:cs typeface="+mn-cs"/>
              </a:defRPr>
            </a:pPr>
          </a:p>
        </c:txPr>
        <c:crossAx val="370918813"/>
        <c:crosses val="autoZero"/>
        <c:crossBetween val="between"/>
      </c:valAx>
      <c:dTable>
        <c:showHorzBorder val="1"/>
        <c:showVertBorder val="1"/>
        <c:showOutline val="1"/>
        <c:showKeys val="1"/>
        <c:spPr>
          <a:noFill/>
          <a:ln w="9525">
            <a:solidFill>
              <a:schemeClr val="lt1">
                <a:lumMod val="95000"/>
                <a:alpha val="54000"/>
              </a:schemeClr>
            </a:solidFill>
          </a:ln>
          <a:effectLst/>
        </c:spPr>
        <c:txPr>
          <a:bodyPr rot="0" spcFirstLastPara="0" vertOverflow="ellipsis" vert="horz" wrap="square" anchor="ctr" anchorCtr="1"/>
          <a:lstStyle/>
          <a:p>
            <a:pPr>
              <a:defRPr lang="zh-CN" sz="900" b="0" i="0" u="none" strike="noStrike" kern="1200" baseline="0">
                <a:solidFill>
                  <a:schemeClr val="lt1">
                    <a:lumMod val="85000"/>
                  </a:schemeClr>
                </a:solidFill>
                <a:latin typeface="+mn-lt"/>
                <a:ea typeface="+mn-ea"/>
                <a:cs typeface="+mn-cs"/>
              </a:defRPr>
            </a:pPr>
          </a:p>
        </c:txPr>
      </c:dTable>
      <c:spPr>
        <a:noFill/>
        <a:ln>
          <a:noFill/>
        </a:ln>
        <a:effectLst/>
      </c:spPr>
    </c:plotArea>
    <c:legend>
      <c:legendPos val="b"/>
      <c:layout>
        <c:manualLayout>
          <c:xMode val="edge"/>
          <c:yMode val="edge"/>
          <c:x val="0.302916666666667"/>
          <c:y val="0.91597222222222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lt1">
                  <a:lumMod val="85000"/>
                </a:schemeClr>
              </a:solidFill>
              <a:latin typeface="+mn-lt"/>
              <a:ea typeface="+mn-ea"/>
              <a:cs typeface="+mn-cs"/>
            </a:defRPr>
          </a:pPr>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gradFill>
    <a:ln>
      <a:noFill/>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5763</Words>
  <Characters>6224</Characters>
  <Lines>0</Lines>
  <Paragraphs>0</Paragraphs>
  <TotalTime>0</TotalTime>
  <ScaleCrop>false</ScaleCrop>
  <LinksUpToDate>false</LinksUpToDate>
  <CharactersWithSpaces>6247</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2024-01-28T09:57:00Z</dcterms:created>
  <dc:creator>QQ</dc:creator>
  <cp:lastModifiedBy>Administrator</cp:lastModifiedBy>
  <dcterms:modified xsi:type="dcterms:W3CDTF">2025-08-20T08:39:35Z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y fmtid="{D5CDD505-2E9C-101B-9397-08002B2CF9AE}" pid="3" name="ICV">
    <vt:lpwstr>EB50AC575B5045C0AFE83355BF9AB74F</vt:lpwstr>
  </property>
</Properties>
</file>