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firstLine="720" w:firstLineChars="200"/>
        <w:jc w:val="center"/>
        <w:rPr>
          <w:rFonts w:hint="eastAsia" w:ascii="华文中宋" w:hAnsi="华文中宋" w:eastAsia="华文中宋"/>
          <w:sz w:val="36"/>
          <w:szCs w:val="36"/>
        </w:rPr>
      </w:pPr>
      <w:bookmarkStart w:id="0" w:name="YS060100"/>
      <w:bookmarkStart w:id="1" w:name="第七部分部门决算分析报告撰写提纲"/>
    </w:p>
    <w:p>
      <w:pPr>
        <w:snapToGrid w:val="0"/>
        <w:jc w:val="center"/>
        <w:outlineLvl w:val="0"/>
        <w:rPr>
          <w:rFonts w:hint="eastAsia" w:ascii="华文中宋" w:hAnsi="华文中宋" w:eastAsia="华文中宋"/>
          <w:sz w:val="36"/>
          <w:szCs w:val="36"/>
        </w:rPr>
      </w:pPr>
      <w:r>
        <w:rPr>
          <w:rFonts w:hint="eastAsia" w:ascii="华文中宋" w:hAnsi="华文中宋" w:eastAsia="华文中宋"/>
          <w:sz w:val="36"/>
          <w:szCs w:val="36"/>
        </w:rPr>
        <w:t>202</w:t>
      </w:r>
      <w:r>
        <w:rPr>
          <w:rFonts w:hint="eastAsia" w:ascii="华文中宋" w:hAnsi="华文中宋" w:eastAsia="华文中宋"/>
          <w:sz w:val="36"/>
          <w:szCs w:val="36"/>
          <w:lang w:eastAsia="zh-CN"/>
        </w:rPr>
        <w:t>4</w:t>
      </w:r>
      <w:r>
        <w:rPr>
          <w:rFonts w:hint="eastAsia" w:ascii="华文中宋" w:hAnsi="华文中宋" w:eastAsia="华文中宋"/>
          <w:sz w:val="36"/>
          <w:szCs w:val="36"/>
        </w:rPr>
        <w:t>年度部门决算分析报告撰写提纲</w:t>
      </w:r>
    </w:p>
    <w:p>
      <w:pPr>
        <w:snapToGrid w:val="0"/>
        <w:jc w:val="center"/>
        <w:outlineLvl w:val="0"/>
        <w:rPr>
          <w:rFonts w:hint="eastAsia" w:ascii="华文中宋" w:hAnsi="华文中宋" w:eastAsia="华文中宋"/>
          <w:sz w:val="36"/>
          <w:szCs w:val="36"/>
        </w:rPr>
      </w:pPr>
      <w:r>
        <w:rPr>
          <w:rFonts w:hint="eastAsia" w:ascii="华文中宋" w:hAnsi="华文中宋" w:eastAsia="华文中宋"/>
          <w:sz w:val="36"/>
          <w:szCs w:val="36"/>
        </w:rPr>
        <w:t>（基层单位版）</w:t>
      </w:r>
    </w:p>
    <w:bookmarkEnd w:id="0"/>
    <w:p>
      <w:pPr>
        <w:snapToGrid w:val="0"/>
        <w:ind w:firstLine="640" w:firstLineChars="200"/>
        <w:rPr>
          <w:rFonts w:hint="eastAsia" w:ascii="仿宋_GB2312" w:hAnsi="仿宋" w:eastAsia="仿宋_GB2312"/>
          <w:sz w:val="32"/>
          <w:szCs w:val="32"/>
        </w:rPr>
      </w:pPr>
    </w:p>
    <w:p>
      <w:pPr>
        <w:snapToGrid w:val="0"/>
        <w:spacing w:line="520" w:lineRule="exact"/>
        <w:ind w:firstLine="640" w:firstLineChars="200"/>
        <w:rPr>
          <w:rFonts w:hint="eastAsia" w:ascii="黑体" w:hAnsi="黑体" w:eastAsia="黑体"/>
          <w:sz w:val="32"/>
          <w:szCs w:val="32"/>
        </w:rPr>
      </w:pPr>
      <w:bookmarkStart w:id="2" w:name="YS060101"/>
      <w:r>
        <w:rPr>
          <w:rFonts w:hint="eastAsia" w:ascii="黑体" w:hAnsi="黑体" w:eastAsia="黑体"/>
          <w:sz w:val="32"/>
          <w:szCs w:val="32"/>
        </w:rPr>
        <w:t>一、单位情况</w:t>
      </w:r>
    </w:p>
    <w:bookmarkEnd w:id="2"/>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（一）基本情况。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（一）</w:t>
      </w:r>
      <w:r>
        <w:rPr>
          <w:rFonts w:hint="eastAsia" w:ascii="仿宋_GB2312" w:hAnsi="仿宋" w:eastAsia="仿宋_GB2312"/>
          <w:sz w:val="32"/>
          <w:szCs w:val="32"/>
          <w:lang w:eastAsia="zh-CN"/>
        </w:rPr>
        <w:t>益青</w:t>
      </w:r>
      <w:r>
        <w:rPr>
          <w:rFonts w:hint="eastAsia" w:ascii="仿宋_GB2312" w:hAnsi="仿宋" w:eastAsia="仿宋_GB2312"/>
          <w:sz w:val="32"/>
          <w:szCs w:val="32"/>
        </w:rPr>
        <w:t>乡人民政府主要职责</w:t>
      </w:r>
    </w:p>
    <w:p>
      <w:pPr>
        <w:snapToGrid w:val="0"/>
        <w:spacing w:line="520" w:lineRule="exact"/>
        <w:rPr>
          <w:rFonts w:hint="eastAsia" w:ascii="仿宋" w:hAnsi="仿宋" w:eastAsia="仿宋"/>
          <w:sz w:val="32"/>
          <w:szCs w:val="32"/>
        </w:rPr>
      </w:pPr>
      <w:r>
        <w:rPr>
          <w:rFonts w:hint="eastAsia" w:ascii="仿宋" w:hAnsi="仿宋" w:eastAsia="仿宋"/>
          <w:sz w:val="32"/>
          <w:szCs w:val="32"/>
          <w:lang w:val="en-US" w:eastAsia="zh-CN"/>
        </w:rPr>
        <w:t xml:space="preserve">    益青</w:t>
      </w:r>
      <w:r>
        <w:rPr>
          <w:rFonts w:hint="eastAsia" w:ascii="仿宋" w:hAnsi="仿宋" w:eastAsia="仿宋"/>
          <w:sz w:val="32"/>
          <w:szCs w:val="32"/>
        </w:rPr>
        <w:t>乡人民政府机构具有党委和政府的两种职能，党委领导政府工作。主要是政治思想和方针政策的领导，干部的选拔，考核和监督，经济和行政工作中的重大问题的决策。乡政府是基层国家行政机关，行驶本行政区的行政职能。</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1.执行本级人民代表大会决议以及上级行政机关的决定和命令。</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2.执行全乡的社会和经济发展的计划、预算，管理本乡内的经济、教育、科技、文化、卫生、体育事业和财政、民政、治安、人民调解、安全生产监督管理、移民开发、计划生育等行政工作。</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3.维护社会主义的全民所有财产和劳动群众集体所有财产，保护公民私人所有的合法财产，维护社会秩序，保障公民的人身的权利、民主权利和其他权利。</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4.保护各种经济组织的合法权益。</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5.贯彻执行党和国家的民族宗教政策，保障少数民族的权利和尊重少数民族的风俗习惯，尊重民族宗教的信仰。</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6.保障宪法和法律赋予的男女平等的、婚姻自由等各项权利。</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7.办理上级人民政府交办的其他事项。</w:t>
      </w:r>
    </w:p>
    <w:p>
      <w:pPr>
        <w:snapToGrid w:val="0"/>
        <w:spacing w:line="520" w:lineRule="exact"/>
        <w:ind w:firstLine="320" w:firstLineChars="100"/>
        <w:rPr>
          <w:rFonts w:hint="eastAsia" w:ascii="仿宋" w:hAnsi="仿宋" w:eastAsia="仿宋"/>
          <w:sz w:val="32"/>
          <w:szCs w:val="32"/>
        </w:rPr>
      </w:pPr>
      <w:r>
        <w:rPr>
          <w:rFonts w:hint="eastAsia" w:ascii="仿宋" w:hAnsi="仿宋" w:eastAsia="仿宋"/>
          <w:sz w:val="32"/>
          <w:szCs w:val="32"/>
        </w:rPr>
        <w:t>(二)政府各部门主要职责</w:t>
      </w:r>
    </w:p>
    <w:p>
      <w:pPr>
        <w:snapToGrid w:val="0"/>
        <w:spacing w:line="520" w:lineRule="exact"/>
        <w:rPr>
          <w:rFonts w:hint="eastAsia" w:ascii="仿宋_GB2312" w:hAnsi="Tahoma" w:eastAsia="仿宋_GB2312" w:cs="仿宋_GB2312"/>
          <w:sz w:val="32"/>
        </w:rPr>
      </w:pPr>
      <w:r>
        <w:rPr>
          <w:rFonts w:hint="eastAsia" w:ascii="仿宋" w:hAnsi="仿宋" w:eastAsia="仿宋"/>
          <w:sz w:val="32"/>
          <w:szCs w:val="32"/>
        </w:rPr>
        <w:t xml:space="preserve">    1、</w:t>
      </w:r>
      <w:r>
        <w:rPr>
          <w:rFonts w:hint="eastAsia" w:ascii="仿宋_GB2312" w:hAnsi="Tahoma" w:eastAsia="仿宋_GB2312" w:cs="仿宋_GB2312"/>
          <w:sz w:val="32"/>
        </w:rPr>
        <w:t>党政综合办公室职责</w:t>
      </w:r>
    </w:p>
    <w:p>
      <w:pPr>
        <w:snapToGrid w:val="0"/>
        <w:spacing w:line="520" w:lineRule="exact"/>
        <w:rPr>
          <w:rFonts w:hint="eastAsia" w:ascii="仿宋_GB2312" w:hAnsi="Tahoma" w:eastAsia="仿宋_GB2312" w:cs="仿宋_GB2312"/>
          <w:sz w:val="32"/>
        </w:rPr>
      </w:pPr>
      <w:r>
        <w:rPr>
          <w:rFonts w:hint="eastAsia" w:ascii="仿宋_GB2312" w:hAnsi="Tahoma" w:eastAsia="仿宋_GB2312" w:cs="仿宋_GB2312"/>
          <w:sz w:val="32"/>
        </w:rPr>
        <w:t xml:space="preserve">    负责本乡党委、政府公章的管理工作；负责党委、政府文件收发和管理工作；负责会议通知、会议记录及档案管理工作；协助领导拟定、整理政府工作计划、工作总结并督促各办公室按时提出计划和总结；和政府对外宣传与联络工作；协助政府日常行政工作的正常运行；负责完成党的基层组织建设、党风廉政建设、工作作风监督工作。</w:t>
      </w:r>
    </w:p>
    <w:p>
      <w:pPr>
        <w:snapToGrid w:val="0"/>
        <w:spacing w:line="520" w:lineRule="exact"/>
        <w:rPr>
          <w:rFonts w:hint="eastAsia" w:ascii="仿宋_GB2312" w:hAnsi="Tahoma" w:eastAsia="仿宋_GB2312" w:cs="仿宋_GB2312"/>
          <w:sz w:val="32"/>
        </w:rPr>
      </w:pPr>
      <w:r>
        <w:rPr>
          <w:rFonts w:hint="eastAsia" w:ascii="仿宋_GB2312" w:hAnsi="Tahoma" w:eastAsia="仿宋_GB2312" w:cs="仿宋_GB2312"/>
          <w:sz w:val="32"/>
        </w:rPr>
        <w:t xml:space="preserve">    2、维护社会稳定办公室职责</w:t>
      </w:r>
    </w:p>
    <w:p>
      <w:pPr>
        <w:widowControl/>
        <w:spacing w:line="540" w:lineRule="atLeast"/>
        <w:ind w:firstLine="645"/>
        <w:jc w:val="left"/>
        <w:rPr>
          <w:rFonts w:hint="eastAsia" w:ascii="仿宋_GB2312" w:hAnsi="Tahoma" w:eastAsia="仿宋_GB2312" w:cs="仿宋_GB2312"/>
          <w:sz w:val="32"/>
        </w:rPr>
      </w:pPr>
      <w:r>
        <w:rPr>
          <w:rFonts w:hint="eastAsia" w:ascii="仿宋_GB2312" w:hAnsi="Tahoma" w:eastAsia="仿宋_GB2312" w:cs="仿宋_GB2312"/>
          <w:sz w:val="32"/>
        </w:rPr>
        <w:t>负责辖区内社会治安综合治理和维护社会稳定，做好矛盾纠纷排、查流动人口管理、流动僧尼管控、重点人员管制。</w:t>
      </w:r>
    </w:p>
    <w:p>
      <w:pPr>
        <w:widowControl/>
        <w:numPr>
          <w:ilvl w:val="0"/>
          <w:numId w:val="1"/>
        </w:numPr>
        <w:spacing w:line="540" w:lineRule="atLeast"/>
        <w:ind w:firstLine="645"/>
        <w:jc w:val="left"/>
        <w:rPr>
          <w:rFonts w:hint="eastAsia" w:ascii="仿宋_GB2312" w:hAnsi="Tahoma" w:eastAsia="仿宋_GB2312" w:cs="仿宋_GB2312"/>
          <w:sz w:val="32"/>
        </w:rPr>
      </w:pPr>
      <w:r>
        <w:rPr>
          <w:rFonts w:hint="eastAsia" w:ascii="仿宋_GB2312" w:hAnsi="Tahoma" w:eastAsia="仿宋_GB2312" w:cs="仿宋_GB2312"/>
          <w:sz w:val="32"/>
        </w:rPr>
        <w:t>农牧综合办公室职责</w:t>
      </w:r>
    </w:p>
    <w:p>
      <w:pPr>
        <w:widowControl/>
        <w:spacing w:line="540" w:lineRule="atLeast"/>
        <w:ind w:firstLine="645"/>
        <w:jc w:val="left"/>
        <w:rPr>
          <w:rFonts w:hint="eastAsia" w:ascii="仿宋_GB2312" w:hAnsi="Tahoma" w:eastAsia="仿宋_GB2312" w:cs="仿宋_GB2312"/>
          <w:sz w:val="32"/>
        </w:rPr>
      </w:pPr>
      <w:r>
        <w:rPr>
          <w:rFonts w:hint="eastAsia" w:ascii="仿宋_GB2312" w:hAnsi="Tahoma" w:eastAsia="仿宋_GB2312" w:cs="仿宋_GB2312"/>
          <w:sz w:val="32"/>
        </w:rPr>
        <w:t>积极配合党委政府制定全乡生产发展规划；配合牧业主管部门开展资源调查，负责完成全乡畜牧防疫注射监管和指导工作。</w:t>
      </w:r>
    </w:p>
    <w:p>
      <w:pPr>
        <w:widowControl/>
        <w:numPr>
          <w:ilvl w:val="0"/>
          <w:numId w:val="1"/>
        </w:numPr>
        <w:tabs>
          <w:tab w:val="clear" w:pos="312"/>
        </w:tabs>
        <w:spacing w:line="540" w:lineRule="atLeast"/>
        <w:ind w:firstLine="643"/>
        <w:jc w:val="left"/>
        <w:rPr>
          <w:rFonts w:hint="eastAsia" w:ascii="仿宋_GB2312" w:hAnsi="Tahoma" w:eastAsia="仿宋_GB2312" w:cs="仿宋_GB2312"/>
          <w:sz w:val="32"/>
        </w:rPr>
      </w:pPr>
      <w:r>
        <w:rPr>
          <w:rFonts w:hint="eastAsia" w:ascii="仿宋_GB2312" w:hAnsi="Tahoma" w:eastAsia="仿宋_GB2312" w:cs="仿宋_GB2312"/>
          <w:sz w:val="32"/>
        </w:rPr>
        <w:t>精准扶贫办公室</w:t>
      </w:r>
      <w:r>
        <w:rPr>
          <w:rFonts w:hint="eastAsia" w:ascii="仿宋_GB2312" w:hAnsi="Tahoma" w:eastAsia="仿宋_GB2312" w:cs="仿宋_GB2312"/>
          <w:sz w:val="32"/>
          <w:lang w:eastAsia="zh-CN"/>
        </w:rPr>
        <w:t>及乡村振兴办公室</w:t>
      </w:r>
      <w:r>
        <w:rPr>
          <w:rFonts w:hint="eastAsia" w:ascii="仿宋_GB2312" w:hAnsi="Tahoma" w:eastAsia="仿宋_GB2312" w:cs="仿宋_GB2312"/>
          <w:sz w:val="32"/>
        </w:rPr>
        <w:t>职责</w:t>
      </w:r>
    </w:p>
    <w:p>
      <w:pPr>
        <w:widowControl/>
        <w:spacing w:line="540" w:lineRule="atLeast"/>
        <w:ind w:firstLine="640" w:firstLineChars="200"/>
        <w:jc w:val="left"/>
        <w:rPr>
          <w:rFonts w:hint="eastAsia" w:ascii="仿宋_GB2312" w:hAnsi="Tahoma" w:eastAsia="仿宋_GB2312" w:cs="仿宋_GB2312"/>
          <w:sz w:val="32"/>
        </w:rPr>
      </w:pPr>
      <w:r>
        <w:rPr>
          <w:rFonts w:hint="eastAsia" w:ascii="仿宋_GB2312" w:hAnsi="Tahoma" w:eastAsia="仿宋_GB2312" w:cs="仿宋_GB2312"/>
          <w:sz w:val="32"/>
        </w:rPr>
        <w:t>对我乡</w:t>
      </w:r>
      <w:r>
        <w:rPr>
          <w:rFonts w:hint="eastAsia" w:ascii="仿宋_GB2312" w:hAnsi="Tahoma" w:eastAsia="仿宋_GB2312" w:cs="仿宋_GB2312"/>
          <w:sz w:val="32"/>
          <w:lang w:eastAsia="zh-CN"/>
        </w:rPr>
        <w:t>脱贫户等相关材料的管理及下一步乡村振兴开展工作的准备。</w:t>
      </w:r>
    </w:p>
    <w:p>
      <w:pPr>
        <w:widowControl/>
        <w:numPr>
          <w:ilvl w:val="0"/>
          <w:numId w:val="1"/>
        </w:numPr>
        <w:tabs>
          <w:tab w:val="clear" w:pos="312"/>
        </w:tabs>
        <w:spacing w:line="540" w:lineRule="atLeast"/>
        <w:ind w:firstLine="640"/>
        <w:jc w:val="left"/>
        <w:rPr>
          <w:rFonts w:hint="eastAsia" w:ascii="仿宋_GB2312" w:hAnsi="Tahoma" w:eastAsia="仿宋_GB2312" w:cs="仿宋_GB2312"/>
          <w:sz w:val="32"/>
        </w:rPr>
      </w:pPr>
      <w:r>
        <w:rPr>
          <w:rFonts w:hint="eastAsia" w:ascii="仿宋_GB2312" w:hAnsi="Tahoma" w:eastAsia="仿宋_GB2312" w:cs="仿宋_GB2312"/>
          <w:sz w:val="32"/>
        </w:rPr>
        <w:t>强基础惠民生办公室职责</w:t>
      </w:r>
    </w:p>
    <w:p>
      <w:pPr>
        <w:widowControl/>
        <w:spacing w:line="540" w:lineRule="atLeast"/>
        <w:ind w:firstLine="645"/>
        <w:jc w:val="left"/>
        <w:rPr>
          <w:rFonts w:ascii="仿宋_GB2312" w:hAnsi="Tahoma" w:eastAsia="仿宋_GB2312" w:cs="仿宋_GB2312"/>
          <w:sz w:val="32"/>
        </w:rPr>
      </w:pPr>
      <w:r>
        <w:rPr>
          <w:rFonts w:hint="eastAsia" w:ascii="仿宋_GB2312" w:hAnsi="Tahoma" w:eastAsia="仿宋_GB2312" w:cs="仿宋_GB2312"/>
          <w:sz w:val="32"/>
        </w:rPr>
        <w:t>按照县强基办的要求，督促各驻村工作队完成各项任务。</w:t>
      </w:r>
    </w:p>
    <w:p>
      <w:pPr>
        <w:widowControl/>
        <w:spacing w:line="540" w:lineRule="atLeast"/>
        <w:ind w:firstLine="640"/>
        <w:jc w:val="left"/>
        <w:rPr>
          <w:rFonts w:hint="eastAsia" w:ascii="仿宋_GB2312" w:hAnsi="Tahoma" w:eastAsia="仿宋_GB2312" w:cs="仿宋_GB2312"/>
          <w:sz w:val="32"/>
        </w:rPr>
      </w:pPr>
      <w:r>
        <w:rPr>
          <w:rFonts w:hint="eastAsia" w:ascii="仿宋_GB2312" w:hAnsi="Tahoma" w:eastAsia="仿宋_GB2312" w:cs="仿宋_GB2312"/>
          <w:sz w:val="32"/>
        </w:rPr>
        <w:t>6.财政所职责</w:t>
      </w:r>
    </w:p>
    <w:p>
      <w:pPr>
        <w:widowControl/>
        <w:spacing w:line="540" w:lineRule="atLeast"/>
        <w:ind w:firstLine="645"/>
        <w:jc w:val="left"/>
        <w:rPr>
          <w:rFonts w:ascii="仿宋_GB2312" w:hAnsi="Tahoma" w:eastAsia="仿宋_GB2312" w:cs="仿宋_GB2312"/>
          <w:sz w:val="32"/>
        </w:rPr>
      </w:pPr>
      <w:r>
        <w:rPr>
          <w:rFonts w:hint="eastAsia" w:ascii="仿宋_GB2312" w:hAnsi="Tahoma" w:eastAsia="仿宋_GB2312" w:cs="仿宋_GB2312"/>
          <w:sz w:val="32"/>
        </w:rPr>
        <w:t>管理和监督各项财政收支活动，参与乡经济与管理，制定相应的财物管理制度，加强资金使用的调控和监督，管理政府会计工作，做好财政补贴，完成支农惠民资金发放工作。</w:t>
      </w:r>
    </w:p>
    <w:p>
      <w:pPr>
        <w:widowControl/>
        <w:numPr>
          <w:ilvl w:val="0"/>
          <w:numId w:val="2"/>
        </w:numPr>
        <w:tabs>
          <w:tab w:val="clear" w:pos="312"/>
        </w:tabs>
        <w:spacing w:line="540" w:lineRule="atLeast"/>
        <w:ind w:firstLine="640"/>
        <w:jc w:val="left"/>
        <w:rPr>
          <w:rFonts w:hint="eastAsia" w:ascii="仿宋_GB2312" w:hAnsi="Tahoma" w:eastAsia="仿宋_GB2312" w:cs="仿宋_GB2312"/>
          <w:sz w:val="32"/>
        </w:rPr>
      </w:pPr>
      <w:r>
        <w:rPr>
          <w:rFonts w:hint="eastAsia" w:ascii="仿宋_GB2312" w:hAnsi="Tahoma" w:eastAsia="仿宋_GB2312" w:cs="仿宋_GB2312"/>
          <w:sz w:val="32"/>
        </w:rPr>
        <w:t>文化服务中心职责</w:t>
      </w:r>
    </w:p>
    <w:p>
      <w:pPr>
        <w:widowControl/>
        <w:spacing w:line="540" w:lineRule="atLeast"/>
        <w:ind w:firstLine="640"/>
        <w:jc w:val="left"/>
        <w:rPr>
          <w:rFonts w:hint="eastAsia" w:ascii="仿宋_GB2312" w:hAnsi="Tahoma" w:eastAsia="仿宋_GB2312" w:cs="仿宋_GB2312"/>
          <w:sz w:val="32"/>
        </w:rPr>
      </w:pPr>
      <w:r>
        <w:rPr>
          <w:rFonts w:hint="eastAsia" w:ascii="仿宋_GB2312" w:hAnsi="Tahoma" w:eastAsia="仿宋_GB2312" w:cs="仿宋_GB2312"/>
          <w:sz w:val="32"/>
        </w:rPr>
        <w:t>利用各种文艺形式宣传党的方针、政策、组织开展各项文体活动，做好农村书屋的管理和电影下乡工作。搜集整理民族民间文化遗产，做好文物保护工作</w:t>
      </w:r>
    </w:p>
    <w:p>
      <w:pPr>
        <w:widowControl/>
        <w:numPr>
          <w:ilvl w:val="0"/>
          <w:numId w:val="2"/>
        </w:numPr>
        <w:tabs>
          <w:tab w:val="clear" w:pos="312"/>
        </w:tabs>
        <w:spacing w:line="540" w:lineRule="atLeast"/>
        <w:ind w:firstLine="640"/>
        <w:jc w:val="left"/>
        <w:rPr>
          <w:rFonts w:hint="eastAsia" w:ascii="仿宋_GB2312" w:hAnsi="Tahoma" w:eastAsia="仿宋_GB2312" w:cs="仿宋_GB2312"/>
          <w:sz w:val="32"/>
        </w:rPr>
      </w:pPr>
      <w:r>
        <w:rPr>
          <w:rFonts w:hint="eastAsia" w:ascii="仿宋_GB2312" w:hAnsi="Tahoma" w:eastAsia="仿宋_GB2312" w:cs="仿宋_GB2312"/>
          <w:sz w:val="32"/>
        </w:rPr>
        <w:t>社会事务办公室职责</w:t>
      </w:r>
    </w:p>
    <w:p>
      <w:pPr>
        <w:widowControl/>
        <w:spacing w:line="540" w:lineRule="atLeast"/>
        <w:ind w:firstLine="645"/>
        <w:jc w:val="left"/>
        <w:rPr>
          <w:rFonts w:hint="eastAsia" w:ascii="仿宋_GB2312" w:hAnsi="Tahoma" w:eastAsia="仿宋_GB2312" w:cs="仿宋_GB2312"/>
          <w:sz w:val="32"/>
        </w:rPr>
      </w:pPr>
      <w:r>
        <w:rPr>
          <w:rFonts w:hint="eastAsia" w:ascii="仿宋_GB2312" w:hAnsi="Tahoma" w:eastAsia="仿宋_GB2312" w:cs="仿宋_GB2312"/>
          <w:sz w:val="32"/>
        </w:rPr>
        <w:t>做好社会养老保险和城乡养老保险工作，做好城乡医疗保险的收缴工作，负责特困户、低保户普查和救助工作。</w:t>
      </w:r>
    </w:p>
    <w:p>
      <w:pPr>
        <w:widowControl/>
        <w:numPr>
          <w:ilvl w:val="0"/>
          <w:numId w:val="2"/>
        </w:numPr>
        <w:spacing w:line="540" w:lineRule="atLeast"/>
        <w:ind w:firstLine="645"/>
        <w:jc w:val="left"/>
        <w:rPr>
          <w:rFonts w:hint="eastAsia" w:ascii="仿宋_GB2312" w:hAnsi="Tahoma" w:eastAsia="仿宋_GB2312" w:cs="仿宋_GB2312"/>
          <w:sz w:val="32"/>
        </w:rPr>
      </w:pPr>
      <w:r>
        <w:rPr>
          <w:rFonts w:hint="eastAsia" w:ascii="仿宋_GB2312" w:hAnsi="Tahoma" w:eastAsia="仿宋_GB2312" w:cs="仿宋_GB2312"/>
          <w:sz w:val="32"/>
        </w:rPr>
        <w:t>活动办职责</w:t>
      </w:r>
    </w:p>
    <w:p>
      <w:pPr>
        <w:widowControl/>
        <w:spacing w:line="540" w:lineRule="atLeast"/>
        <w:ind w:firstLine="640"/>
        <w:jc w:val="left"/>
        <w:rPr>
          <w:rFonts w:hint="eastAsia" w:ascii="仿宋_GB2312" w:hAnsi="Tahoma" w:eastAsia="仿宋_GB2312" w:cs="仿宋_GB2312"/>
          <w:sz w:val="32"/>
        </w:rPr>
      </w:pPr>
      <w:r>
        <w:rPr>
          <w:rFonts w:hint="eastAsia" w:ascii="仿宋_GB2312" w:hAnsi="Tahoma" w:eastAsia="仿宋_GB2312" w:cs="仿宋_GB2312"/>
          <w:sz w:val="32"/>
        </w:rPr>
        <w:t>结合现在开展的主要活动，按照县活动办要求，做好相关材料的报送工作。</w:t>
      </w:r>
    </w:p>
    <w:p>
      <w:pPr>
        <w:widowControl/>
        <w:numPr>
          <w:ilvl w:val="0"/>
          <w:numId w:val="2"/>
        </w:numPr>
        <w:tabs>
          <w:tab w:val="clear" w:pos="312"/>
        </w:tabs>
        <w:spacing w:line="540" w:lineRule="atLeast"/>
        <w:ind w:firstLine="640"/>
        <w:jc w:val="left"/>
        <w:rPr>
          <w:rFonts w:hint="eastAsia" w:ascii="仿宋_GB2312" w:hAnsi="Tahoma" w:eastAsia="仿宋_GB2312" w:cs="仿宋_GB2312"/>
          <w:sz w:val="32"/>
        </w:rPr>
      </w:pPr>
      <w:r>
        <w:rPr>
          <w:rFonts w:hint="eastAsia" w:ascii="仿宋_GB2312" w:hAnsi="Tahoma" w:eastAsia="仿宋_GB2312" w:cs="仿宋_GB2312"/>
          <w:sz w:val="32"/>
        </w:rPr>
        <w:t>后勤职责</w:t>
      </w:r>
    </w:p>
    <w:p>
      <w:pPr>
        <w:widowControl/>
        <w:spacing w:line="540" w:lineRule="atLeast"/>
        <w:jc w:val="left"/>
        <w:rPr>
          <w:rFonts w:hint="eastAsia" w:ascii="仿宋_GB2312" w:hAnsi="Tahoma" w:eastAsia="仿宋_GB2312" w:cs="仿宋_GB2312"/>
          <w:sz w:val="32"/>
        </w:rPr>
      </w:pPr>
      <w:r>
        <w:rPr>
          <w:rFonts w:hint="eastAsia" w:ascii="仿宋_GB2312" w:hAnsi="Tahoma" w:eastAsia="仿宋_GB2312" w:cs="仿宋_GB2312"/>
          <w:sz w:val="32"/>
        </w:rPr>
        <w:t xml:space="preserve">    负责全乡机关干部伙食、生活经费的管理，负责机关食堂的卫生监督和后勤物资登记管理，负责来宾来客的接待任务和采购后勤物品。</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2．机构情况。</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纳入</w:t>
      </w:r>
      <w:r>
        <w:rPr>
          <w:rFonts w:hint="eastAsia" w:ascii="仿宋" w:hAnsi="仿宋" w:eastAsia="仿宋"/>
          <w:sz w:val="32"/>
          <w:szCs w:val="32"/>
          <w:lang w:eastAsia="zh-CN"/>
        </w:rPr>
        <w:t>20</w:t>
      </w:r>
      <w:r>
        <w:rPr>
          <w:rFonts w:hint="eastAsia" w:ascii="仿宋" w:hAnsi="仿宋" w:eastAsia="仿宋"/>
          <w:sz w:val="32"/>
          <w:szCs w:val="32"/>
          <w:lang w:val="en-US" w:eastAsia="zh-CN"/>
        </w:rPr>
        <w:t>24</w:t>
      </w:r>
      <w:r>
        <w:rPr>
          <w:rFonts w:hint="eastAsia" w:ascii="仿宋" w:hAnsi="仿宋" w:eastAsia="仿宋"/>
          <w:sz w:val="32"/>
          <w:szCs w:val="32"/>
        </w:rPr>
        <w:t>年度部门决算汇编范围内的独立核算单位（以下简称“单位</w:t>
      </w:r>
      <w:r>
        <w:rPr>
          <w:rFonts w:ascii="仿宋" w:hAnsi="仿宋" w:eastAsia="仿宋"/>
          <w:sz w:val="32"/>
          <w:szCs w:val="32"/>
        </w:rPr>
        <w:t>”</w:t>
      </w:r>
      <w:r>
        <w:rPr>
          <w:rFonts w:hint="eastAsia" w:ascii="仿宋" w:hAnsi="仿宋" w:eastAsia="仿宋"/>
          <w:sz w:val="32"/>
          <w:szCs w:val="32"/>
        </w:rPr>
        <w:t>）共一个，其中：单位录入1户，其中含单位一个，占单位的总数的100%。执行会计制度为：行政会计制度。</w:t>
      </w:r>
    </w:p>
    <w:p>
      <w:pPr>
        <w:numPr>
          <w:ilvl w:val="0"/>
          <w:numId w:val="3"/>
        </w:numPr>
        <w:snapToGrid w:val="0"/>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人员情况:</w:t>
      </w:r>
    </w:p>
    <w:p>
      <w:pPr>
        <w:snapToGrid w:val="0"/>
        <w:spacing w:line="520" w:lineRule="exact"/>
        <w:rPr>
          <w:rFonts w:hint="default" w:ascii="仿宋_GB2312" w:hAnsi="仿宋" w:eastAsia="仿宋_GB2312"/>
          <w:color w:val="FF0000"/>
          <w:sz w:val="32"/>
          <w:szCs w:val="32"/>
          <w:lang w:val="en-US" w:eastAsia="zh-CN"/>
        </w:rPr>
      </w:pPr>
      <w:r>
        <w:rPr>
          <w:rFonts w:hint="eastAsia" w:ascii="仿宋_GB2312" w:hAnsi="仿宋" w:eastAsia="仿宋_GB2312"/>
          <w:color w:val="000000"/>
          <w:sz w:val="32"/>
          <w:szCs w:val="32"/>
        </w:rPr>
        <w:t xml:space="preserve">   单位编制人数：</w:t>
      </w:r>
      <w:r>
        <w:rPr>
          <w:rFonts w:hint="eastAsia" w:ascii="仿宋_GB2312" w:hAnsi="仿宋" w:eastAsia="仿宋_GB2312"/>
          <w:color w:val="000000"/>
          <w:sz w:val="32"/>
          <w:szCs w:val="32"/>
          <w:lang w:val="en-US" w:eastAsia="zh-CN"/>
        </w:rPr>
        <w:t>55</w:t>
      </w:r>
      <w:r>
        <w:rPr>
          <w:rFonts w:hint="eastAsia" w:ascii="仿宋_GB2312" w:hAnsi="仿宋" w:eastAsia="仿宋_GB2312"/>
          <w:color w:val="000000"/>
          <w:sz w:val="32"/>
          <w:szCs w:val="32"/>
        </w:rPr>
        <w:t>人，其中行政编制</w:t>
      </w:r>
      <w:r>
        <w:rPr>
          <w:rFonts w:hint="eastAsia" w:ascii="仿宋_GB2312" w:hAnsi="仿宋" w:eastAsia="仿宋_GB2312"/>
          <w:color w:val="000000"/>
          <w:sz w:val="32"/>
          <w:szCs w:val="32"/>
          <w:lang w:val="en-US" w:eastAsia="zh-CN"/>
        </w:rPr>
        <w:t>37</w:t>
      </w:r>
      <w:r>
        <w:rPr>
          <w:rFonts w:hint="eastAsia" w:ascii="仿宋_GB2312" w:hAnsi="仿宋" w:eastAsia="仿宋_GB2312"/>
          <w:color w:val="000000"/>
          <w:sz w:val="32"/>
          <w:szCs w:val="32"/>
        </w:rPr>
        <w:t>人，事业编制</w:t>
      </w:r>
      <w:r>
        <w:rPr>
          <w:rFonts w:hint="eastAsia" w:ascii="仿宋_GB2312" w:hAnsi="仿宋" w:eastAsia="仿宋_GB2312"/>
          <w:color w:val="000000"/>
          <w:sz w:val="32"/>
          <w:szCs w:val="32"/>
          <w:lang w:val="en-US" w:eastAsia="zh-CN"/>
        </w:rPr>
        <w:t>18</w:t>
      </w:r>
      <w:r>
        <w:rPr>
          <w:rFonts w:hint="eastAsia" w:ascii="仿宋_GB2312" w:hAnsi="仿宋" w:eastAsia="仿宋_GB2312"/>
          <w:color w:val="000000"/>
          <w:sz w:val="32"/>
          <w:szCs w:val="32"/>
        </w:rPr>
        <w:t>人</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2024年人员变动20人，其中调进13人，调出7人。</w:t>
      </w:r>
    </w:p>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（二）当年取得的主要事业成效。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bookmarkStart w:id="3" w:name="YS060102"/>
      <w:r>
        <w:rPr>
          <w:rFonts w:hint="eastAsia" w:ascii="楷体_GB2312" w:hAnsi="楷体_GB2312" w:eastAsia="楷体_GB2312" w:cs="楷体_GB2312"/>
          <w:sz w:val="32"/>
          <w:szCs w:val="32"/>
          <w:lang w:val="en-US" w:eastAsia="zh-CN"/>
        </w:rPr>
        <w:t>（一）抓教育、强党性，筑牢思想根基。</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全面落实意识形态工作责任制，始终把学习贯彻习近平新时代中国特色社会主义思想和党的二十大和二十届三中全会精神作为首要任务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严格</w:t>
      </w:r>
      <w:r>
        <w:rPr>
          <w:rFonts w:hint="eastAsia" w:ascii="仿宋_GB2312" w:hAnsi="仿宋_GB2312" w:eastAsia="仿宋_GB2312" w:cs="仿宋_GB2312"/>
          <w:sz w:val="32"/>
          <w:szCs w:val="32"/>
        </w:rPr>
        <w:t>落实“第一议题”制度，第一时间传达学习上级会议文件精神，及时跟进学习党的创新理论成果。今年以来，共计召开</w:t>
      </w:r>
      <w:r>
        <w:rPr>
          <w:rFonts w:hint="eastAsia" w:ascii="仿宋_GB2312" w:hAnsi="仿宋_GB2312" w:eastAsia="仿宋_GB2312" w:cs="仿宋_GB2312"/>
          <w:sz w:val="32"/>
          <w:szCs w:val="32"/>
          <w:lang w:val="en-US" w:eastAsia="zh-CN"/>
        </w:rPr>
        <w:t>乡党委会议学习15次，党委</w:t>
      </w:r>
      <w:r>
        <w:rPr>
          <w:rFonts w:hint="eastAsia" w:ascii="仿宋_GB2312" w:hAnsi="仿宋_GB2312" w:eastAsia="仿宋_GB2312" w:cs="仿宋_GB2312"/>
          <w:sz w:val="32"/>
          <w:szCs w:val="32"/>
        </w:rPr>
        <w:t>理论</w:t>
      </w:r>
      <w:r>
        <w:rPr>
          <w:rFonts w:hint="eastAsia"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rPr>
        <w:t>中心组学习</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次，组织专题学习研讨</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次，交流发言28次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党纪学习教育工作会7次，党委书记讲党课</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专题研究</w:t>
      </w:r>
      <w:r>
        <w:rPr>
          <w:rFonts w:hint="eastAsia" w:ascii="仿宋_GB2312" w:hAnsi="仿宋_GB2312" w:eastAsia="仿宋_GB2312" w:cs="仿宋_GB2312"/>
          <w:sz w:val="32"/>
          <w:szCs w:val="32"/>
        </w:rPr>
        <w:t>党风廉政</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党纪学习</w:t>
      </w:r>
      <w:r>
        <w:rPr>
          <w:rFonts w:hint="eastAsia" w:ascii="仿宋_GB2312" w:hAnsi="仿宋_GB2312" w:eastAsia="仿宋_GB2312" w:cs="仿宋_GB2312"/>
          <w:sz w:val="32"/>
          <w:szCs w:val="32"/>
        </w:rPr>
        <w:t>教育</w:t>
      </w:r>
      <w:r>
        <w:rPr>
          <w:rFonts w:hint="eastAsia" w:ascii="仿宋_GB2312" w:hAnsi="仿宋_GB2312" w:eastAsia="仿宋_GB2312" w:cs="仿宋_GB2312"/>
          <w:sz w:val="32"/>
          <w:szCs w:val="32"/>
          <w:lang w:val="en-US" w:eastAsia="zh-CN"/>
        </w:rPr>
        <w:t>工作4</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val="en-US" w:eastAsia="zh-CN"/>
        </w:rPr>
        <w:t>召开</w:t>
      </w:r>
      <w:r>
        <w:rPr>
          <w:rFonts w:hint="eastAsia" w:ascii="仿宋_GB2312" w:hAnsi="仿宋_GB2312" w:eastAsia="仿宋_GB2312" w:cs="仿宋_GB2312"/>
          <w:sz w:val="32"/>
          <w:szCs w:val="32"/>
        </w:rPr>
        <w:t>意识形态及宣传思想工作领导小组专题会2次，意识形态分析研判会2次，党政班子成员结合工作和学习实际撰写调研报告14篇、撰写关于习近平新时代中国特色社会主义思想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党的二十大</w:t>
      </w:r>
      <w:r>
        <w:rPr>
          <w:rFonts w:hint="eastAsia" w:ascii="仿宋_GB2312" w:hAnsi="仿宋_GB2312" w:eastAsia="仿宋_GB2312" w:cs="仿宋_GB2312"/>
          <w:sz w:val="32"/>
          <w:szCs w:val="32"/>
          <w:lang w:val="en-US" w:eastAsia="zh-CN"/>
        </w:rPr>
        <w:t>和二十届三中全会精神、习近平法治思想等心得体会40</w:t>
      </w:r>
      <w:r>
        <w:rPr>
          <w:rFonts w:hint="eastAsia" w:ascii="仿宋_GB2312" w:hAnsi="仿宋_GB2312" w:eastAsia="仿宋_GB2312" w:cs="仿宋_GB2312"/>
          <w:sz w:val="32"/>
          <w:szCs w:val="32"/>
        </w:rPr>
        <w:t>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rPr>
        <w:t>紧紧围绕“党建</w:t>
      </w:r>
      <w:r>
        <w:rPr>
          <w:rFonts w:hint="eastAsia" w:ascii="仿宋_GB2312" w:hAnsi="仿宋_GB2312" w:eastAsia="仿宋_GB2312" w:cs="仿宋_GB2312"/>
          <w:sz w:val="32"/>
          <w:szCs w:val="32"/>
          <w:lang w:val="en-US" w:eastAsia="zh-CN"/>
        </w:rPr>
        <w:t>巩固年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环境整治年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安排部署，</w:t>
      </w:r>
      <w:r>
        <w:rPr>
          <w:rFonts w:hint="eastAsia" w:ascii="仿宋_GB2312" w:hAnsi="仿宋_GB2312" w:eastAsia="仿宋_GB2312" w:cs="仿宋_GB2312"/>
          <w:sz w:val="32"/>
          <w:szCs w:val="32"/>
          <w:lang w:val="en-US" w:eastAsia="zh-CN"/>
        </w:rPr>
        <w:t>深入调查研究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开展党的二十大和二十届三中全会精神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三个意识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教育、习近平法治思想、</w:t>
      </w:r>
      <w:r>
        <w:rPr>
          <w:rFonts w:hint="eastAsia" w:ascii="仿宋_GB2312" w:hAnsi="仿宋_GB2312" w:eastAsia="仿宋_GB2312" w:cs="仿宋_GB2312"/>
          <w:sz w:val="32"/>
          <w:szCs w:val="32"/>
        </w:rPr>
        <w:t>铸牢中华民族共同体意识等系列宣传教育活动</w:t>
      </w:r>
      <w:r>
        <w:rPr>
          <w:rFonts w:hint="eastAsia" w:ascii="仿宋_GB2312" w:hAnsi="仿宋_GB2312" w:eastAsia="仿宋_GB2312" w:cs="仿宋_GB2312"/>
          <w:sz w:val="32"/>
          <w:szCs w:val="32"/>
          <w:lang w:val="en-US" w:eastAsia="zh-CN"/>
        </w:rPr>
        <w:t>90余</w:t>
      </w:r>
      <w:r>
        <w:rPr>
          <w:rFonts w:hint="eastAsia" w:ascii="仿宋_GB2312" w:hAnsi="仿宋_GB2312" w:eastAsia="仿宋_GB2312" w:cs="仿宋_GB2312"/>
          <w:sz w:val="32"/>
          <w:szCs w:val="32"/>
        </w:rPr>
        <w:t>场次。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（二）抓党建、强队伍，建强基层战斗堡垒。</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强化政治担当，持续压实工作责任。严格落实乡党委书记抓基层党建工作第一责任人责任，认真研究谋划全年党建工作，乡党委会议研究部署基层党建工作4次，制定《2024年益庆乡党建巩固年实施方案》，确定工作目标，压实工作责任，坚持每月督促指导，确保各党支部基层党建工作有序推进。今年以来，累计开展党建工作督导检查11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加强政治建设，持续提升组织水平。持续巩固拓展学习贯彻习近平新时代中国特色社会主义思想主题教育成果，严肃党内政治生活，严格落</w:t>
      </w:r>
      <w:r>
        <w:rPr>
          <w:rFonts w:hint="eastAsia" w:ascii="仿宋_GB2312" w:hAnsi="仿宋_GB2312" w:eastAsia="仿宋_GB2312" w:cs="仿宋_GB2312"/>
          <w:sz w:val="32"/>
          <w:szCs w:val="32"/>
        </w:rPr>
        <w:t>实“三会一课”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主题党日、谈心谈话、组织生活等制度，今年以来，益庆</w:t>
      </w:r>
      <w:r>
        <w:rPr>
          <w:rFonts w:hint="eastAsia" w:ascii="仿宋_GB2312" w:hAnsi="仿宋_GB2312" w:eastAsia="仿宋_GB2312" w:cs="仿宋_GB2312"/>
          <w:sz w:val="32"/>
          <w:szCs w:val="32"/>
        </w:rPr>
        <w:t>乡</w:t>
      </w:r>
      <w:r>
        <w:rPr>
          <w:rFonts w:hint="eastAsia" w:ascii="仿宋_GB2312" w:hAnsi="仿宋_GB2312" w:eastAsia="仿宋_GB2312" w:cs="仿宋_GB2312"/>
          <w:sz w:val="32"/>
          <w:szCs w:val="32"/>
          <w:lang w:val="en-US" w:eastAsia="zh-CN"/>
        </w:rPr>
        <w:t>党委召开民主生活会1次，各党支部召开组织生活会8次，</w:t>
      </w:r>
      <w:r>
        <w:rPr>
          <w:rFonts w:hint="eastAsia" w:ascii="仿宋_GB2312" w:hAnsi="仿宋_GB2312" w:eastAsia="仿宋_GB2312" w:cs="仿宋_GB2312"/>
          <w:sz w:val="32"/>
          <w:szCs w:val="32"/>
        </w:rPr>
        <w:t>党员大会</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次、支委会</w:t>
      </w:r>
      <w:r>
        <w:rPr>
          <w:rFonts w:hint="eastAsia" w:ascii="仿宋_GB2312" w:hAnsi="仿宋_GB2312" w:eastAsia="仿宋_GB2312" w:cs="仿宋_GB2312"/>
          <w:sz w:val="32"/>
          <w:szCs w:val="32"/>
          <w:lang w:val="en-US" w:eastAsia="zh-CN"/>
        </w:rPr>
        <w:t>78</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val="en-US" w:eastAsia="zh-CN"/>
        </w:rPr>
        <w:t>讲</w:t>
      </w:r>
      <w:r>
        <w:rPr>
          <w:rFonts w:hint="eastAsia" w:ascii="仿宋_GB2312" w:hAnsi="仿宋_GB2312" w:eastAsia="仿宋_GB2312" w:cs="仿宋_GB2312"/>
          <w:sz w:val="32"/>
          <w:szCs w:val="32"/>
        </w:rPr>
        <w:t>党课</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次、主题党日</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看红色电影80余次。以庆祝新中国成立75周年为契机，开展升国旗、唱国歌、重温入党誓词等庆祝活动28次，教育引导全乡广大党员固本培元、凝心铸魂，坚定拥护“两个确立”，坚决做到“两个维护”，推动辖区形成了上下同心、共促发展的良好氛围。</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增强组织功能，巩固党建提质增效。持续推进党委班子成员联系包村机制，严格落实“一岗双责”，有序召开党组织书记抓党建述职评议会，开展党建专项经费自查，摸排软弱涣散党组织，进一步加强党员关系接转和党费收缴等日常管理工作，不断改进流动党员管理方式，对10名流动党员定期采取线上教育引导管理。今年以来，发展党员8名，培养入党积极分子及入党对象8名，定期分析党员干部思想动态，开展党内激励帮扶2人次，1名乡村振兴专干选入村“两委”班子，2名村“两委”班子前往内地参加培训，党员干部教育培训4场次，持续提升党员干部政治素养，提升工作能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sz w:val="32"/>
          <w:szCs w:val="32"/>
          <w:lang w:val="en-US" w:eastAsia="zh-CN"/>
        </w:rPr>
        <w:t>（三）抓民生、暖民心，经济社会高质量发展。</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提升医疗保障服务能力。积极组织全乡医疗保险缴费工作，应参保人员3416人，已参保3329人，参保率达到96%，其中脱贫人口100%参保，边缘易致户100%参保。大力实施“先诊疗后付费”和“一站式”结算服务，解决建档立卡人员看病难、看病贵的问题，受理城乡居民住院报销结算单19个。扎实开展健康扶贫工作，乡卫生院完成前三季度家庭医生签约服务，累计服务9600余人次。</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全面落实惠民政策。着力解决群众最关心、最直接、最现实的利益问题，今年以来，兑现低保资金420183.76元，残疾人补助资金131520，高龄失能老人补助资金3780元，养老金743474.02元，保障困难群众基本生活。</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扎实抓好人畜分离。2024年益庆乡人畜分离指标200户，已完成乡级验收。</w:t>
      </w:r>
      <w:r>
        <w:rPr>
          <w:rFonts w:hint="eastAsia" w:ascii="仿宋_GB2312" w:hAnsi="仿宋_GB2312" w:eastAsia="仿宋_GB2312" w:cs="仿宋_GB2312"/>
          <w:b/>
          <w:bCs/>
          <w:kern w:val="2"/>
          <w:sz w:val="32"/>
          <w:szCs w:val="32"/>
          <w:lang w:val="en-US" w:eastAsia="zh-CN" w:bidi="ar-SA"/>
        </w:rPr>
        <w:t>四是</w:t>
      </w:r>
      <w:r>
        <w:rPr>
          <w:rFonts w:hint="eastAsia" w:ascii="仿宋_GB2312" w:hAnsi="仿宋_GB2312" w:eastAsia="仿宋_GB2312" w:cs="仿宋_GB2312"/>
          <w:kern w:val="2"/>
          <w:sz w:val="32"/>
          <w:szCs w:val="32"/>
          <w:lang w:val="en-US" w:eastAsia="zh-CN" w:bidi="ar-SA"/>
        </w:rPr>
        <w:t>认真组织开展农村自建房安全专项排查整治行动，严格按照“个人申请、村级评议、乡级审核”的程序，做好农村危房改造对象认定工作和建档录入工作，2024年实施危房改造户25户，目前通过乡级初验。</w:t>
      </w:r>
      <w:r>
        <w:rPr>
          <w:rFonts w:hint="eastAsia" w:ascii="仿宋_GB2312" w:hAnsi="仿宋_GB2312" w:eastAsia="仿宋_GB2312" w:cs="仿宋_GB2312"/>
          <w:b/>
          <w:bCs/>
          <w:kern w:val="2"/>
          <w:sz w:val="32"/>
          <w:szCs w:val="32"/>
          <w:lang w:val="en-US" w:eastAsia="zh-CN" w:bidi="ar-SA"/>
        </w:rPr>
        <w:t>五是</w:t>
      </w:r>
      <w:r>
        <w:rPr>
          <w:rFonts w:hint="eastAsia" w:ascii="仿宋_GB2312" w:hAnsi="仿宋_GB2312" w:eastAsia="仿宋_GB2312" w:cs="仿宋_GB2312"/>
          <w:kern w:val="2"/>
          <w:sz w:val="32"/>
          <w:szCs w:val="32"/>
          <w:lang w:val="en-US" w:eastAsia="zh-CN" w:bidi="ar-SA"/>
        </w:rPr>
        <w:t>扎实完成牧户统计入户调查工作和年末牲畜入户清点工作，今年以来，出售活体27头，兑现10头活体牲畜补贴共计8000元，兑现草原补助奖励资金共计748.26万元。</w:t>
      </w:r>
    </w:p>
    <w:p>
      <w:pPr>
        <w:pStyle w:val="5"/>
        <w:widowControl/>
        <w:shd w:val="clear" w:color="auto" w:fill="FFFFFF"/>
        <w:spacing w:beforeAutospacing="0" w:afterAutospacing="0"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楷体" w:hAnsi="楷体" w:eastAsia="楷体" w:cs="楷体_GB2312"/>
          <w:bCs/>
          <w:color w:val="000000" w:themeColor="text1"/>
          <w:sz w:val="32"/>
          <w:szCs w:val="32"/>
          <w:shd w:val="clear" w:color="auto" w:fill="FFFFFF"/>
          <w14:textFill>
            <w14:solidFill>
              <w14:schemeClr w14:val="tx1"/>
            </w14:solidFill>
          </w14:textFill>
        </w:rPr>
        <w:t>（</w:t>
      </w:r>
      <w:r>
        <w:rPr>
          <w:rFonts w:hint="eastAsia" w:ascii="楷体" w:hAnsi="楷体" w:eastAsia="楷体" w:cs="楷体_GB2312"/>
          <w:bCs/>
          <w:color w:val="000000" w:themeColor="text1"/>
          <w:sz w:val="32"/>
          <w:szCs w:val="32"/>
          <w:shd w:val="clear" w:color="auto" w:fill="FFFFFF"/>
          <w:lang w:val="en-US" w:eastAsia="zh-CN"/>
          <w14:textFill>
            <w14:solidFill>
              <w14:schemeClr w14:val="tx1"/>
            </w14:solidFill>
          </w14:textFill>
        </w:rPr>
        <w:t>四</w:t>
      </w:r>
      <w:r>
        <w:rPr>
          <w:rFonts w:hint="eastAsia" w:ascii="楷体" w:hAnsi="楷体" w:eastAsia="楷体" w:cs="楷体_GB2312"/>
          <w:bCs/>
          <w:color w:val="000000" w:themeColor="text1"/>
          <w:sz w:val="32"/>
          <w:szCs w:val="32"/>
          <w:shd w:val="clear" w:color="auto" w:fill="FFFFFF"/>
          <w14:textFill>
            <w14:solidFill>
              <w14:schemeClr w14:val="tx1"/>
            </w14:solidFill>
          </w14:textFill>
        </w:rPr>
        <w:t>）强引领</w:t>
      </w:r>
      <w:r>
        <w:rPr>
          <w:rFonts w:hint="eastAsia" w:ascii="楷体" w:hAnsi="楷体" w:eastAsia="楷体" w:cs="楷体_GB2312"/>
          <w:bCs/>
          <w:color w:val="000000" w:themeColor="text1"/>
          <w:sz w:val="32"/>
          <w:szCs w:val="32"/>
          <w:shd w:val="clear" w:color="auto" w:fill="FFFFFF"/>
          <w:lang w:eastAsia="zh-CN"/>
          <w14:textFill>
            <w14:solidFill>
              <w14:schemeClr w14:val="tx1"/>
            </w14:solidFill>
          </w14:textFill>
        </w:rPr>
        <w:t>、</w:t>
      </w:r>
      <w:r>
        <w:rPr>
          <w:rFonts w:hint="eastAsia" w:ascii="楷体" w:hAnsi="楷体" w:eastAsia="楷体" w:cs="楷体_GB2312"/>
          <w:bCs/>
          <w:color w:val="000000" w:themeColor="text1"/>
          <w:sz w:val="32"/>
          <w:szCs w:val="32"/>
          <w:shd w:val="clear" w:color="auto" w:fill="FFFFFF"/>
          <w:lang w:val="en-US" w:eastAsia="zh-CN"/>
          <w14:textFill>
            <w14:solidFill>
              <w14:schemeClr w14:val="tx1"/>
            </w14:solidFill>
          </w14:textFill>
        </w:rPr>
        <w:t>促增收</w:t>
      </w:r>
      <w:r>
        <w:rPr>
          <w:rFonts w:hint="eastAsia" w:ascii="楷体" w:hAnsi="楷体" w:eastAsia="楷体" w:cs="楷体_GB2312"/>
          <w:bCs/>
          <w:color w:val="000000" w:themeColor="text1"/>
          <w:sz w:val="32"/>
          <w:szCs w:val="32"/>
          <w:shd w:val="clear" w:color="auto" w:fill="FFFFFF"/>
          <w:lang w:eastAsia="zh-CN"/>
          <w14:textFill>
            <w14:solidFill>
              <w14:schemeClr w14:val="tx1"/>
            </w14:solidFill>
          </w14:textFill>
        </w:rPr>
        <w:t>，</w:t>
      </w:r>
      <w:r>
        <w:rPr>
          <w:rFonts w:hint="eastAsia" w:ascii="楷体" w:hAnsi="楷体" w:eastAsia="楷体" w:cs="楷体_GB2312"/>
          <w:bCs/>
          <w:color w:val="000000" w:themeColor="text1"/>
          <w:sz w:val="32"/>
          <w:szCs w:val="32"/>
          <w:shd w:val="clear" w:color="auto" w:fill="FFFFFF"/>
          <w:lang w:val="en-US" w:eastAsia="zh-CN"/>
          <w14:textFill>
            <w14:solidFill>
              <w14:schemeClr w14:val="tx1"/>
            </w14:solidFill>
          </w14:textFill>
        </w:rPr>
        <w:t>群众生活持续向好</w:t>
      </w:r>
      <w:r>
        <w:rPr>
          <w:rFonts w:hint="eastAsia" w:ascii="楷体" w:hAnsi="楷体" w:eastAsia="楷体" w:cs="楷体_GB2312"/>
          <w:bCs/>
          <w:color w:val="000000" w:themeColor="text1"/>
          <w:sz w:val="32"/>
          <w:szCs w:val="32"/>
          <w:shd w:val="clear" w:color="auto" w:fill="FFFFFF"/>
          <w14:textFill>
            <w14:solidFill>
              <w14:schemeClr w14:val="tx1"/>
            </w14:solidFill>
          </w14:textFill>
        </w:rPr>
        <w:t>。</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项目带动促增收。益庆乡充分发挥地理位置优势，依托机场改扩建和川藏铁路项目，带领群众外出务工、出租房屋、租赁机械，拓宽群众收入。今年以来，车队运输增收1490余万元；依托排水沟清理、植树造林、砖砌墙等人居环境大整治项目，采取投工投劳、机械租赁等方式，吸纳本地小工730人次，投入资金47万元，群众增入27.6万元。在川藏铁路、机场改扩建、美丽宜居、物流园项目上累计输送小工20人、人均每月收入4000元，累计输送临时工660余人、人均每日收入240元；外出务工190余人，人均每月收入3000元。</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加大转移就业政策宣传力度。积极落实高校毕业生就业创业及农牧民转移就业各项优惠政策,对有就业意愿的群众,提供政策资询、就业创业指导等服务。通过进村调研、走访入户、谈心谈话等形式，进行转移就业政策宣讲。今年以来，开展各类惠民政策宣讲活动130余场次，受教育群众1.3万人次。</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招商引资促农牧民增收。农牧民群众出租房屋41户，大力发展餐饮、住宿、超市等行业，增收480余万元；通过招商引资，索那村招待所项目每年出租收益14.4万元，解决本村2名服务员的就业问题。</w:t>
      </w:r>
      <w:r>
        <w:rPr>
          <w:rFonts w:hint="eastAsia" w:ascii="仿宋_GB2312" w:hAnsi="仿宋_GB2312" w:eastAsia="仿宋_GB2312" w:cs="仿宋_GB2312"/>
          <w:b/>
          <w:bCs/>
          <w:kern w:val="2"/>
          <w:sz w:val="32"/>
          <w:szCs w:val="32"/>
          <w:lang w:val="en-US" w:eastAsia="zh-CN" w:bidi="ar-SA"/>
        </w:rPr>
        <w:t>四是</w:t>
      </w:r>
      <w:r>
        <w:rPr>
          <w:rFonts w:hint="eastAsia" w:ascii="仿宋_GB2312" w:hAnsi="仿宋_GB2312" w:eastAsia="仿宋_GB2312" w:cs="仿宋_GB2312"/>
          <w:kern w:val="2"/>
          <w:sz w:val="32"/>
          <w:szCs w:val="32"/>
          <w:lang w:val="en-US" w:eastAsia="zh-CN" w:bidi="ar-SA"/>
        </w:rPr>
        <w:t>持续开展低收入家庭帮扶慰问。持续开展结对帮扶工作，制定干部结对帮扶方案，今年以来，县乡共计101名干部开展帮扶活动101次，慰问物资折合人民币共计2万余元。组织开展防止返贫监测帮扶集中排查2次，认真抓好返贫动态监测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（五）抓治理、保安全，社会大局持续稳定。</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牢固树立稳定压倒一切的思想。通过构建全方位的社会治理体系和多元化解矛盾纠纷机制，</w:t>
      </w:r>
      <w:r>
        <w:rPr>
          <w:rFonts w:hint="eastAsia" w:ascii="仿宋_GB2312" w:hAnsi="仿宋_GB2312" w:eastAsia="仿宋_GB2312" w:cs="仿宋_GB2312"/>
          <w:sz w:val="32"/>
          <w:szCs w:val="32"/>
        </w:rPr>
        <w:t>成立以乡党委书记为组长的维稳工作领导小组，</w:t>
      </w:r>
      <w:r>
        <w:rPr>
          <w:rFonts w:hint="eastAsia" w:ascii="仿宋_GB2312" w:hAnsi="仿宋_GB2312" w:eastAsia="仿宋_GB2312" w:cs="仿宋_GB2312"/>
          <w:sz w:val="32"/>
          <w:szCs w:val="32"/>
          <w:lang w:val="en-US" w:eastAsia="zh-CN"/>
        </w:rPr>
        <w:t>全面落实各项维稳措施。</w:t>
      </w:r>
      <w:r>
        <w:rPr>
          <w:rFonts w:hint="eastAsia" w:ascii="仿宋_GB2312" w:hAnsi="仿宋_GB2312" w:eastAsia="仿宋_GB2312" w:cs="仿宋_GB2312"/>
          <w:sz w:val="32"/>
          <w:szCs w:val="32"/>
        </w:rPr>
        <w:t>认真践行新时代“枫桥经验”，发挥“双联户”作用，及时解决矛盾纠纷。指导各双联单元处理好矛盾纠纷的排查调处及安全隐患的排查工作，</w:t>
      </w:r>
      <w:r>
        <w:rPr>
          <w:rFonts w:hint="eastAsia" w:ascii="仿宋_GB2312" w:hAnsi="仿宋_GB2312" w:eastAsia="仿宋_GB2312" w:cs="仿宋_GB2312"/>
          <w:sz w:val="32"/>
          <w:szCs w:val="32"/>
          <w:lang w:val="en-US" w:eastAsia="zh-CN"/>
        </w:rPr>
        <w:t>切实加强和创新社会管理，确保了社会局势持续长期全面稳定。今年以来，</w:t>
      </w:r>
      <w:r>
        <w:rPr>
          <w:rFonts w:hint="eastAsia" w:ascii="仿宋_GB2312" w:hAnsi="仿宋_GB2312" w:eastAsia="仿宋_GB2312" w:cs="仿宋_GB2312"/>
          <w:sz w:val="32"/>
          <w:szCs w:val="32"/>
        </w:rPr>
        <w:t>制定</w:t>
      </w:r>
      <w:r>
        <w:rPr>
          <w:rFonts w:hint="eastAsia" w:ascii="仿宋_GB2312" w:hAnsi="仿宋_GB2312" w:eastAsia="仿宋_GB2312" w:cs="仿宋_GB2312"/>
          <w:sz w:val="32"/>
          <w:szCs w:val="32"/>
          <w:lang w:val="en-US" w:eastAsia="zh-CN"/>
        </w:rPr>
        <w:t>维稳</w:t>
      </w:r>
      <w:r>
        <w:rPr>
          <w:rFonts w:hint="eastAsia" w:ascii="仿宋_GB2312" w:hAnsi="仿宋_GB2312" w:eastAsia="仿宋_GB2312" w:cs="仿宋_GB2312"/>
          <w:sz w:val="32"/>
          <w:szCs w:val="32"/>
        </w:rPr>
        <w:t>方案和应急预案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个，制定维稳责任落实清单</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份，组建护村队、护路队、巡逻队等</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个，开展应急演练</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次，巡逻</w:t>
      </w:r>
      <w:r>
        <w:rPr>
          <w:rFonts w:hint="eastAsia" w:ascii="仿宋_GB2312" w:hAnsi="仿宋_GB2312" w:eastAsia="仿宋_GB2312" w:cs="仿宋_GB2312"/>
          <w:sz w:val="32"/>
          <w:szCs w:val="32"/>
          <w:lang w:val="en-US" w:eastAsia="zh-CN"/>
        </w:rPr>
        <w:t>80余</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是</w:t>
      </w:r>
      <w:r>
        <w:rPr>
          <w:rFonts w:hint="eastAsia" w:ascii="仿宋_GB2312" w:hAnsi="仿宋_GB2312" w:eastAsia="仿宋_GB2312" w:cs="仿宋_GB2312"/>
          <w:sz w:val="32"/>
          <w:szCs w:val="32"/>
          <w:lang w:val="en-US" w:eastAsia="zh-CN"/>
        </w:rPr>
        <w:t>社会治理体系见行见效。持续加强重点人员管控力度，与重点人员见面谈话4次，视频调度42次，确保管控到位。开展安全生产、</w:t>
      </w:r>
      <w:r>
        <w:rPr>
          <w:rFonts w:hint="eastAsia" w:ascii="仿宋_GB2312" w:hAnsi="仿宋_GB2312" w:eastAsia="仿宋_GB2312" w:cs="仿宋_GB2312"/>
          <w:sz w:val="32"/>
          <w:szCs w:val="32"/>
        </w:rPr>
        <w:t>道路交通、森林草原防火、</w:t>
      </w:r>
      <w:r>
        <w:rPr>
          <w:rFonts w:hint="eastAsia" w:ascii="仿宋_GB2312" w:hAnsi="仿宋_GB2312" w:eastAsia="仿宋_GB2312" w:cs="仿宋_GB2312"/>
          <w:sz w:val="32"/>
          <w:szCs w:val="32"/>
          <w:lang w:val="en-US" w:eastAsia="zh-CN"/>
        </w:rPr>
        <w:t>法律知识宣讲11场次，“八五普法”宣讲11场次。</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乡辖区内的</w:t>
      </w:r>
      <w:r>
        <w:rPr>
          <w:rFonts w:hint="eastAsia" w:ascii="仿宋_GB2312" w:hAnsi="仿宋_GB2312" w:eastAsia="仿宋_GB2312" w:cs="仿宋_GB2312"/>
          <w:sz w:val="32"/>
          <w:szCs w:val="32"/>
        </w:rPr>
        <w:t>项目部、超市、饭店等企业和个体工商户</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用电用火用气、食品生产</w:t>
      </w:r>
      <w:r>
        <w:rPr>
          <w:rFonts w:hint="eastAsia" w:ascii="仿宋_GB2312" w:hAnsi="仿宋_GB2312" w:eastAsia="仿宋_GB2312" w:cs="仿宋_GB2312"/>
          <w:sz w:val="32"/>
          <w:szCs w:val="32"/>
          <w:lang w:val="en-US" w:eastAsia="zh-CN"/>
        </w:rPr>
        <w:t>等方面的排查55</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val="en-US" w:eastAsia="zh-CN"/>
        </w:rPr>
        <w:t>常态化开展扫黑除恶专项斗争，</w:t>
      </w:r>
      <w:r>
        <w:rPr>
          <w:rFonts w:hint="eastAsia" w:ascii="仿宋_GB2312" w:hAnsi="仿宋_GB2312" w:eastAsia="仿宋_GB2312" w:cs="仿宋_GB2312"/>
          <w:sz w:val="32"/>
          <w:szCs w:val="32"/>
        </w:rPr>
        <w:t>采取多种形式宣传教育，以展板、挂图、发放宣传资料等方式，向广大群众宣传相法律法规，营造全民参与扫黑除恶的浓厚氛围。</w:t>
      </w:r>
      <w:r>
        <w:rPr>
          <w:rFonts w:hint="eastAsia" w:ascii="仿宋_GB2312" w:hAnsi="仿宋_GB2312" w:eastAsia="仿宋_GB2312" w:cs="仿宋_GB2312"/>
          <w:sz w:val="32"/>
          <w:szCs w:val="32"/>
          <w:lang w:val="en-US" w:eastAsia="zh-CN"/>
        </w:rPr>
        <w:t>今年以来，常态化开展扫黑除恶专项排查</w:t>
      </w:r>
      <w:r>
        <w:rPr>
          <w:rFonts w:hint="eastAsia" w:ascii="仿宋_GB2312" w:hAnsi="仿宋_GB2312" w:eastAsia="仿宋_GB2312" w:cs="仿宋_GB2312"/>
          <w:sz w:val="32"/>
          <w:szCs w:val="32"/>
        </w:rPr>
        <w:t>5次</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集中宣讲5次，发放宣传资料600余张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持续开展矛盾纠纷排查调处。</w:t>
      </w:r>
      <w:r>
        <w:rPr>
          <w:rFonts w:hint="eastAsia" w:ascii="仿宋_GB2312" w:hAnsi="仿宋_GB2312" w:eastAsia="仿宋_GB2312" w:cs="仿宋_GB2312"/>
          <w:sz w:val="32"/>
          <w:szCs w:val="32"/>
        </w:rPr>
        <w:t>坚持每月</w:t>
      </w:r>
      <w:r>
        <w:rPr>
          <w:rFonts w:hint="eastAsia" w:ascii="仿宋_GB2312" w:hAnsi="仿宋_GB2312" w:eastAsia="仿宋_GB2312" w:cs="仿宋_GB2312"/>
          <w:sz w:val="32"/>
          <w:szCs w:val="32"/>
          <w:lang w:val="en-US" w:eastAsia="zh-CN"/>
        </w:rPr>
        <w:t>信访</w:t>
      </w:r>
      <w:r>
        <w:rPr>
          <w:rFonts w:hint="eastAsia" w:ascii="仿宋_GB2312" w:hAnsi="仿宋_GB2312" w:eastAsia="仿宋_GB2312" w:cs="仿宋_GB2312"/>
          <w:sz w:val="32"/>
          <w:szCs w:val="32"/>
        </w:rPr>
        <w:t>党政领导联席会议</w:t>
      </w:r>
      <w:r>
        <w:rPr>
          <w:rFonts w:hint="eastAsia" w:ascii="仿宋_GB2312" w:hAnsi="仿宋_GB2312" w:eastAsia="仿宋_GB2312" w:cs="仿宋_GB2312"/>
          <w:sz w:val="32"/>
          <w:szCs w:val="32"/>
          <w:lang w:val="en-US" w:eastAsia="zh-CN"/>
        </w:rPr>
        <w:t>制度</w:t>
      </w:r>
      <w:r>
        <w:rPr>
          <w:rFonts w:hint="eastAsia" w:ascii="仿宋_GB2312" w:hAnsi="仿宋_GB2312" w:eastAsia="仿宋_GB2312" w:cs="仿宋_GB2312"/>
          <w:sz w:val="32"/>
          <w:szCs w:val="32"/>
        </w:rPr>
        <w:t>，专题研究解决信访突出问题和安排部署信访工作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严格落实领导班子成员到信访办轮流值班制度</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领导干部接访、下访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包案制度。今年以来，召开党政领导联席会议10次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领导干部大接访、下访活动10次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信访受理8件，当场化解5件，限期承诺化解或其</w:t>
      </w:r>
      <w:r>
        <w:rPr>
          <w:rFonts w:hint="eastAsia" w:ascii="仿宋_GB2312" w:hAnsi="仿宋_GB2312" w:eastAsia="仿宋_GB2312" w:cs="仿宋_GB2312"/>
          <w:sz w:val="32"/>
          <w:szCs w:val="32"/>
          <w:lang w:val="en-US" w:eastAsia="zh-CN"/>
        </w:rPr>
        <w:t>它</w:t>
      </w:r>
      <w:r>
        <w:rPr>
          <w:rFonts w:hint="eastAsia" w:ascii="仿宋_GB2312" w:hAnsi="仿宋_GB2312" w:eastAsia="仿宋_GB2312" w:cs="仿宋_GB2312"/>
          <w:sz w:val="32"/>
          <w:szCs w:val="32"/>
        </w:rPr>
        <w:t>途径化解3</w:t>
      </w:r>
      <w:r>
        <w:rPr>
          <w:rFonts w:hint="eastAsia" w:ascii="仿宋_GB2312" w:hAnsi="仿宋_GB2312" w:eastAsia="仿宋_GB2312" w:cs="仿宋_GB2312"/>
          <w:sz w:val="32"/>
          <w:szCs w:val="32"/>
          <w:lang w:val="en-US" w:eastAsia="zh-CN"/>
        </w:rPr>
        <w:t>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建立</w:t>
      </w:r>
      <w:r>
        <w:rPr>
          <w:rFonts w:hint="eastAsia" w:ascii="仿宋_GB2312" w:hAnsi="仿宋_GB2312" w:eastAsia="仿宋_GB2312" w:cs="仿宋_GB2312"/>
          <w:sz w:val="32"/>
          <w:szCs w:val="32"/>
        </w:rPr>
        <w:t>矛盾纠纷隐患调处</w:t>
      </w:r>
      <w:r>
        <w:rPr>
          <w:rFonts w:hint="eastAsia" w:ascii="仿宋_GB2312" w:hAnsi="仿宋_GB2312" w:eastAsia="仿宋_GB2312" w:cs="仿宋_GB2312"/>
          <w:sz w:val="32"/>
          <w:szCs w:val="32"/>
          <w:lang w:val="zh-CN"/>
        </w:rPr>
        <w:t>工作台账，落实领导责任制，全力调处</w:t>
      </w:r>
      <w:r>
        <w:rPr>
          <w:rFonts w:hint="eastAsia" w:ascii="仿宋_GB2312" w:hAnsi="仿宋_GB2312" w:eastAsia="仿宋_GB2312" w:cs="仿宋_GB2312"/>
          <w:sz w:val="32"/>
          <w:szCs w:val="32"/>
          <w:lang w:val="en-US" w:eastAsia="zh-CN"/>
        </w:rPr>
        <w:t>各类</w:t>
      </w:r>
      <w:r>
        <w:rPr>
          <w:rFonts w:hint="eastAsia" w:ascii="仿宋_GB2312" w:hAnsi="仿宋_GB2312" w:eastAsia="仿宋_GB2312" w:cs="仿宋_GB2312"/>
          <w:sz w:val="32"/>
          <w:szCs w:val="32"/>
          <w:lang w:val="zh-CN"/>
        </w:rPr>
        <w:t>重大、复杂、疑难问题。</w:t>
      </w:r>
      <w:r>
        <w:rPr>
          <w:rFonts w:hint="eastAsia" w:ascii="仿宋_GB2312" w:hAnsi="仿宋_GB2312" w:eastAsia="仿宋_GB2312" w:cs="仿宋_GB2312"/>
          <w:sz w:val="32"/>
          <w:szCs w:val="32"/>
        </w:rPr>
        <w:t>今年以来，</w:t>
      </w:r>
      <w:r>
        <w:rPr>
          <w:rFonts w:hint="eastAsia" w:ascii="仿宋_GB2312" w:hAnsi="仿宋_GB2312" w:eastAsia="仿宋_GB2312" w:cs="仿宋_GB2312"/>
          <w:sz w:val="32"/>
          <w:szCs w:val="32"/>
          <w:lang w:val="en-US" w:eastAsia="zh-CN"/>
        </w:rPr>
        <w:t>结合“千名干部进千村 矛盾纠纷隐患大排查”活动，排查6次，排查出问题12起，化解8起；</w:t>
      </w:r>
      <w:r>
        <w:rPr>
          <w:rFonts w:hint="eastAsia" w:ascii="仿宋_GB2312" w:hAnsi="仿宋_GB2312" w:eastAsia="仿宋_GB2312" w:cs="仿宋_GB2312"/>
          <w:sz w:val="32"/>
          <w:szCs w:val="32"/>
        </w:rPr>
        <w:t>定期组织中铁十局、水电七局等多方负责人协调益庆乡</w:t>
      </w:r>
      <w:r>
        <w:rPr>
          <w:rFonts w:hint="eastAsia" w:ascii="仿宋_GB2312" w:hAnsi="仿宋_GB2312" w:eastAsia="仿宋_GB2312" w:cs="仿宋_GB2312"/>
          <w:sz w:val="32"/>
          <w:szCs w:val="32"/>
          <w:lang w:val="en-US" w:eastAsia="zh-CN"/>
        </w:rPr>
        <w:t>薪资</w:t>
      </w:r>
      <w:r>
        <w:rPr>
          <w:rFonts w:hint="eastAsia" w:ascii="仿宋_GB2312" w:hAnsi="仿宋_GB2312" w:eastAsia="仿宋_GB2312" w:cs="仿宋_GB2312"/>
          <w:sz w:val="32"/>
          <w:szCs w:val="32"/>
        </w:rPr>
        <w:t>拖欠问题</w:t>
      </w:r>
      <w:r>
        <w:rPr>
          <w:rFonts w:hint="eastAsia" w:ascii="仿宋_GB2312" w:hAnsi="仿宋_GB2312" w:eastAsia="仿宋_GB2312" w:cs="仿宋_GB2312"/>
          <w:sz w:val="32"/>
          <w:szCs w:val="32"/>
          <w:lang w:val="en-US" w:eastAsia="zh-CN"/>
        </w:rPr>
        <w:t>11次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调处</w:t>
      </w:r>
      <w:r>
        <w:rPr>
          <w:rFonts w:hint="eastAsia" w:ascii="仿宋_GB2312" w:hAnsi="仿宋_GB2312" w:eastAsia="仿宋_GB2312" w:cs="仿宋_GB2312"/>
          <w:sz w:val="32"/>
          <w:szCs w:val="32"/>
          <w:lang w:val="en-US" w:eastAsia="zh-CN"/>
        </w:rPr>
        <w:t>项目施工建设纠纷</w:t>
      </w:r>
      <w:r>
        <w:rPr>
          <w:rFonts w:hint="eastAsia" w:ascii="仿宋_GB2312" w:hAnsi="仿宋_GB2312" w:eastAsia="仿宋_GB2312" w:cs="仿宋_GB2312"/>
          <w:sz w:val="32"/>
          <w:szCs w:val="32"/>
        </w:rPr>
        <w:t>9起，</w:t>
      </w:r>
      <w:r>
        <w:rPr>
          <w:rFonts w:hint="eastAsia" w:ascii="仿宋_GB2312" w:hAnsi="仿宋_GB2312" w:eastAsia="仿宋_GB2312" w:cs="仿宋_GB2312"/>
          <w:sz w:val="32"/>
          <w:szCs w:val="32"/>
          <w:lang w:val="en-US" w:eastAsia="zh-CN"/>
        </w:rPr>
        <w:t>薪资拖欠纠纷8起，草场纠纷3起，邻里生活纠纷2起</w:t>
      </w:r>
      <w:r>
        <w:rPr>
          <w:rFonts w:hint="eastAsia" w:ascii="仿宋_GB2312" w:hAnsi="仿宋_GB2312" w:eastAsia="仿宋_GB2312" w:cs="仿宋_GB2312"/>
          <w:sz w:val="32"/>
          <w:szCs w:val="32"/>
          <w:lang w:eastAsia="zh-CN"/>
        </w:rPr>
        <w:t>。</w:t>
      </w:r>
    </w:p>
    <w:p>
      <w:pPr>
        <w:pStyle w:val="2"/>
        <w:tabs>
          <w:tab w:val="left" w:pos="1260"/>
        </w:tabs>
        <w:spacing w:line="560" w:lineRule="exact"/>
        <w:ind w:left="0" w:leftChars="0" w:firstLine="640"/>
        <w:rPr>
          <w:rFonts w:hint="eastAsia" w:ascii="仿宋_GB2312" w:hAnsi="仿宋_GB2312" w:eastAsia="仿宋_GB2312" w:cs="仿宋_GB2312"/>
          <w:kern w:val="2"/>
          <w:sz w:val="32"/>
          <w:szCs w:val="32"/>
          <w:lang w:val="zh-CN" w:eastAsia="zh-CN" w:bidi="ar-SA"/>
        </w:rPr>
      </w:pPr>
      <w:r>
        <w:rPr>
          <w:rFonts w:hint="eastAsia" w:ascii="楷体_GB2312" w:hAnsi="楷体_GB2312" w:eastAsia="楷体_GB2312" w:cs="楷体_GB2312"/>
          <w:sz w:val="32"/>
          <w:szCs w:val="32"/>
          <w:lang w:val="en-US" w:eastAsia="zh-CN"/>
        </w:rPr>
        <w:t>（六）抓驻村、强民生，强基惠民有声有色。</w:t>
      </w:r>
      <w:r>
        <w:rPr>
          <w:rFonts w:hint="eastAsia" w:ascii="仿宋_GB2312" w:hAnsi="仿宋_GB2312" w:eastAsia="仿宋_GB2312" w:cs="仿宋_GB2312"/>
          <w:b/>
          <w:bCs/>
          <w:kern w:val="2"/>
          <w:sz w:val="32"/>
          <w:szCs w:val="32"/>
          <w:lang w:val="zh-CN" w:eastAsia="zh-CN" w:bidi="ar-SA"/>
        </w:rPr>
        <w:t>一是</w:t>
      </w:r>
      <w:r>
        <w:rPr>
          <w:rFonts w:hint="eastAsia" w:ascii="仿宋_GB2312" w:hAnsi="仿宋_GB2312" w:eastAsia="仿宋_GB2312" w:cs="仿宋_GB2312"/>
          <w:kern w:val="2"/>
          <w:sz w:val="32"/>
          <w:szCs w:val="32"/>
          <w:lang w:val="zh-CN" w:eastAsia="zh-CN" w:bidi="ar-SA"/>
        </w:rPr>
        <w:t>选优配强驻村干部。坚持好中选优、优中选强，选派政治素质高、综合能力强、工作作风实的干部驻村，通过个人自荐与单位推荐，乡选派1名正科级干部担任选派支部书记兼队长，2名党委班子成员担任副队长，1名普通干部担任副队长，做到人村相适、科学搭配、因村选派。</w:t>
      </w:r>
      <w:r>
        <w:rPr>
          <w:rFonts w:hint="eastAsia" w:ascii="仿宋_GB2312" w:hAnsi="仿宋_GB2312" w:eastAsia="仿宋_GB2312" w:cs="仿宋_GB2312"/>
          <w:b/>
          <w:bCs/>
          <w:kern w:val="2"/>
          <w:sz w:val="32"/>
          <w:szCs w:val="32"/>
          <w:lang w:val="zh-CN" w:eastAsia="zh-CN" w:bidi="ar-SA"/>
        </w:rPr>
        <w:t>二是</w:t>
      </w:r>
      <w:r>
        <w:rPr>
          <w:rFonts w:hint="eastAsia" w:ascii="仿宋_GB2312" w:hAnsi="仿宋_GB2312" w:eastAsia="仿宋_GB2312" w:cs="仿宋_GB2312"/>
          <w:kern w:val="2"/>
          <w:sz w:val="32"/>
          <w:szCs w:val="32"/>
          <w:lang w:val="zh-CN" w:eastAsia="zh-CN" w:bidi="ar-SA"/>
        </w:rPr>
        <w:t>强化干部驻村管理。要求各驻村工作队自觉接受各级调度和视频查岗,严格遵守驻村干部请销假制度，严守驻村干部“六个必须”和“七个不准”要求，做到吃住在村，工作在村。</w:t>
      </w:r>
      <w:r>
        <w:rPr>
          <w:rFonts w:hint="eastAsia" w:ascii="仿宋_GB2312" w:hAnsi="仿宋_GB2312" w:eastAsia="仿宋_GB2312" w:cs="仿宋_GB2312"/>
          <w:b/>
          <w:bCs/>
          <w:kern w:val="2"/>
          <w:sz w:val="32"/>
          <w:szCs w:val="32"/>
          <w:lang w:val="zh-CN" w:eastAsia="zh-CN" w:bidi="ar-SA"/>
        </w:rPr>
        <w:t>三是</w:t>
      </w:r>
      <w:r>
        <w:rPr>
          <w:rFonts w:hint="eastAsia" w:ascii="仿宋_GB2312" w:hAnsi="仿宋_GB2312" w:eastAsia="仿宋_GB2312" w:cs="仿宋_GB2312"/>
          <w:kern w:val="2"/>
          <w:sz w:val="32"/>
          <w:szCs w:val="32"/>
          <w:lang w:val="zh-CN" w:eastAsia="zh-CN" w:bidi="ar-SA"/>
        </w:rPr>
        <w:t>深入开展干部驻村工作。各驻村工作队围绕驻村工作“五项重点任务”履职尽责，召开临时党支部工作汇报会10次，分析研究驻村工作。积极开展“传帮带“工作，实施国家通用语言培训200余次，全乡村”两委“及后备干部能说会读国家通用语言人数达到104人，村”两委“能力水平显著提升。开展环境整治活动80余次，完成人畜分离改造工作，城乡环境更加美好。开展“三个意识”、“新旧西藏对比”、“五史”及西藏地方和祖国关系史、卓嘎央宗姐妹守土固边先进事迹、《藏传佛教活佛转世管理办法》、八五普法、党的相关政策等宣传教育活动100余次，铸牢中华民族共同体意识。组织群众积极参工参建，累计输送务工人员</w:t>
      </w:r>
      <w:r>
        <w:rPr>
          <w:rFonts w:hint="eastAsia" w:ascii="仿宋_GB2312" w:hAnsi="仿宋_GB2312" w:eastAsia="仿宋_GB2312" w:cs="仿宋_GB2312"/>
          <w:kern w:val="2"/>
          <w:sz w:val="32"/>
          <w:szCs w:val="32"/>
          <w:lang w:val="en-US" w:eastAsia="zh-CN" w:bidi="ar-SA"/>
        </w:rPr>
        <w:t>730余</w:t>
      </w:r>
      <w:r>
        <w:rPr>
          <w:rFonts w:hint="eastAsia" w:ascii="仿宋_GB2312" w:hAnsi="仿宋_GB2312" w:eastAsia="仿宋_GB2312" w:cs="仿宋_GB2312"/>
          <w:kern w:val="2"/>
          <w:sz w:val="32"/>
          <w:szCs w:val="32"/>
          <w:lang w:val="zh-CN" w:eastAsia="zh-CN" w:bidi="ar-SA"/>
        </w:rPr>
        <w:t>人</w:t>
      </w:r>
      <w:r>
        <w:rPr>
          <w:rFonts w:hint="eastAsia" w:ascii="仿宋_GB2312" w:hAnsi="仿宋_GB2312" w:eastAsia="仿宋_GB2312" w:cs="仿宋_GB2312"/>
          <w:kern w:val="2"/>
          <w:sz w:val="32"/>
          <w:szCs w:val="32"/>
          <w:lang w:val="en-US" w:eastAsia="zh-CN" w:bidi="ar-SA"/>
        </w:rPr>
        <w:t>次</w:t>
      </w:r>
      <w:r>
        <w:rPr>
          <w:rFonts w:hint="eastAsia" w:ascii="仿宋_GB2312" w:hAnsi="仿宋_GB2312" w:eastAsia="仿宋_GB2312" w:cs="仿宋_GB2312"/>
          <w:kern w:val="2"/>
          <w:sz w:val="32"/>
          <w:szCs w:val="32"/>
          <w:lang w:val="zh-CN" w:eastAsia="zh-CN" w:bidi="ar-SA"/>
        </w:rPr>
        <w:t>、实现收入</w:t>
      </w:r>
      <w:r>
        <w:rPr>
          <w:rFonts w:hint="eastAsia" w:ascii="仿宋_GB2312" w:hAnsi="仿宋_GB2312" w:eastAsia="仿宋_GB2312" w:cs="仿宋_GB2312"/>
          <w:kern w:val="2"/>
          <w:sz w:val="32"/>
          <w:szCs w:val="32"/>
          <w:lang w:val="en-US" w:eastAsia="zh-CN" w:bidi="ar-SA"/>
        </w:rPr>
        <w:t>17.52万</w:t>
      </w:r>
      <w:r>
        <w:rPr>
          <w:rFonts w:hint="eastAsia" w:ascii="仿宋_GB2312" w:hAnsi="仿宋_GB2312" w:eastAsia="仿宋_GB2312" w:cs="仿宋_GB2312"/>
          <w:kern w:val="2"/>
          <w:sz w:val="32"/>
          <w:szCs w:val="32"/>
          <w:lang w:val="zh-CN" w:eastAsia="zh-CN" w:bidi="ar-SA"/>
        </w:rPr>
        <w:t>元，实现灵活就业</w:t>
      </w:r>
      <w:r>
        <w:rPr>
          <w:rFonts w:hint="eastAsia" w:ascii="仿宋_GB2312" w:hAnsi="仿宋_GB2312" w:eastAsia="仿宋_GB2312" w:cs="仿宋_GB2312"/>
          <w:kern w:val="2"/>
          <w:sz w:val="32"/>
          <w:szCs w:val="32"/>
          <w:lang w:val="en-US" w:eastAsia="zh-CN" w:bidi="ar-SA"/>
        </w:rPr>
        <w:t>850余</w:t>
      </w:r>
      <w:r>
        <w:rPr>
          <w:rFonts w:hint="eastAsia" w:ascii="仿宋_GB2312" w:hAnsi="仿宋_GB2312" w:eastAsia="仿宋_GB2312" w:cs="仿宋_GB2312"/>
          <w:kern w:val="2"/>
          <w:sz w:val="32"/>
          <w:szCs w:val="32"/>
          <w:lang w:val="zh-CN" w:eastAsia="zh-CN" w:bidi="ar-SA"/>
        </w:rPr>
        <w:t>人</w:t>
      </w:r>
      <w:r>
        <w:rPr>
          <w:rFonts w:hint="eastAsia" w:ascii="仿宋_GB2312" w:hAnsi="仿宋_GB2312" w:eastAsia="仿宋_GB2312" w:cs="仿宋_GB2312"/>
          <w:kern w:val="2"/>
          <w:sz w:val="32"/>
          <w:szCs w:val="32"/>
          <w:lang w:val="en-US" w:eastAsia="zh-CN" w:bidi="ar-SA"/>
        </w:rPr>
        <w:t>次</w:t>
      </w:r>
      <w:r>
        <w:rPr>
          <w:rFonts w:hint="eastAsia" w:ascii="仿宋_GB2312" w:hAnsi="仿宋_GB2312" w:eastAsia="仿宋_GB2312" w:cs="仿宋_GB2312"/>
          <w:kern w:val="2"/>
          <w:sz w:val="32"/>
          <w:szCs w:val="32"/>
          <w:lang w:val="zh-CN" w:eastAsia="zh-CN" w:bidi="ar-SA"/>
        </w:rPr>
        <w:t>。通过与邦达机场沟通，实现3名村民就业。曲扎村食用菌种植项目实现平菇产出2700余斤，销售总额2</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zh-CN" w:eastAsia="zh-CN" w:bidi="ar-SA"/>
        </w:rPr>
        <w:t>3</w:t>
      </w:r>
      <w:r>
        <w:rPr>
          <w:rFonts w:hint="eastAsia" w:ascii="仿宋_GB2312" w:hAnsi="仿宋_GB2312" w:eastAsia="仿宋_GB2312" w:cs="仿宋_GB2312"/>
          <w:kern w:val="2"/>
          <w:sz w:val="32"/>
          <w:szCs w:val="32"/>
          <w:lang w:val="en-US" w:eastAsia="zh-CN" w:bidi="ar-SA"/>
        </w:rPr>
        <w:t>万</w:t>
      </w:r>
      <w:r>
        <w:rPr>
          <w:rFonts w:hint="eastAsia" w:ascii="仿宋_GB2312" w:hAnsi="仿宋_GB2312" w:eastAsia="仿宋_GB2312" w:cs="仿宋_GB2312"/>
          <w:kern w:val="2"/>
          <w:sz w:val="32"/>
          <w:szCs w:val="32"/>
          <w:lang w:val="zh-CN" w:eastAsia="zh-CN" w:bidi="ar-SA"/>
        </w:rPr>
        <w:t>元，尼琼村装载机项目实现收益9万元，索那村民航援建项目收益12万元，村集体经济效益明显。各驻村工作队为民办实事</w:t>
      </w:r>
      <w:r>
        <w:rPr>
          <w:rFonts w:hint="eastAsia" w:ascii="仿宋_GB2312" w:hAnsi="仿宋_GB2312" w:eastAsia="仿宋_GB2312" w:cs="仿宋_GB2312"/>
          <w:kern w:val="2"/>
          <w:sz w:val="32"/>
          <w:szCs w:val="32"/>
          <w:lang w:val="en-US" w:eastAsia="zh-CN" w:bidi="ar-SA"/>
        </w:rPr>
        <w:t>35</w:t>
      </w:r>
      <w:r>
        <w:rPr>
          <w:rFonts w:hint="eastAsia" w:ascii="仿宋_GB2312" w:hAnsi="仿宋_GB2312" w:eastAsia="仿宋_GB2312" w:cs="仿宋_GB2312"/>
          <w:kern w:val="2"/>
          <w:sz w:val="32"/>
          <w:szCs w:val="32"/>
          <w:lang w:val="zh-CN" w:eastAsia="zh-CN" w:bidi="ar-SA"/>
        </w:rPr>
        <w:t>件，方便群众生产生活。调解矛盾纠纷</w:t>
      </w:r>
      <w:r>
        <w:rPr>
          <w:rFonts w:hint="eastAsia" w:ascii="仿宋_GB2312" w:hAnsi="仿宋_GB2312" w:eastAsia="仿宋_GB2312" w:cs="仿宋_GB2312"/>
          <w:kern w:val="2"/>
          <w:sz w:val="32"/>
          <w:szCs w:val="32"/>
          <w:lang w:val="en-US" w:eastAsia="zh-CN" w:bidi="ar-SA"/>
        </w:rPr>
        <w:t>16</w:t>
      </w:r>
      <w:r>
        <w:rPr>
          <w:rFonts w:hint="eastAsia" w:ascii="仿宋_GB2312" w:hAnsi="仿宋_GB2312" w:eastAsia="仿宋_GB2312" w:cs="仿宋_GB2312"/>
          <w:kern w:val="2"/>
          <w:sz w:val="32"/>
          <w:szCs w:val="32"/>
          <w:lang w:val="zh-CN" w:eastAsia="zh-CN" w:bidi="ar-SA"/>
        </w:rPr>
        <w:t>起，巡逻</w:t>
      </w:r>
      <w:r>
        <w:rPr>
          <w:rFonts w:hint="eastAsia" w:ascii="仿宋_GB2312" w:hAnsi="仿宋_GB2312" w:eastAsia="仿宋_GB2312" w:cs="仿宋_GB2312"/>
          <w:kern w:val="2"/>
          <w:sz w:val="32"/>
          <w:szCs w:val="32"/>
          <w:lang w:val="en-US" w:eastAsia="zh-CN" w:bidi="ar-SA"/>
        </w:rPr>
        <w:t>230</w:t>
      </w:r>
      <w:r>
        <w:rPr>
          <w:rFonts w:hint="eastAsia" w:ascii="仿宋_GB2312" w:hAnsi="仿宋_GB2312" w:eastAsia="仿宋_GB2312" w:cs="仿宋_GB2312"/>
          <w:kern w:val="2"/>
          <w:sz w:val="32"/>
          <w:szCs w:val="32"/>
          <w:lang w:val="zh-CN" w:eastAsia="zh-CN" w:bidi="ar-SA"/>
        </w:rPr>
        <w:t xml:space="preserve">次，严格值班备勤，各村社会面平稳可控。 </w:t>
      </w:r>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（七）抓作风、强建设，全面从严治党走深走实。</w:t>
      </w:r>
      <w:r>
        <w:rPr>
          <w:rFonts w:hint="eastAsia" w:ascii="仿宋_GB2312" w:hAnsi="仿宋_GB2312" w:eastAsia="仿宋_GB2312" w:cs="仿宋_GB2312"/>
          <w:sz w:val="32"/>
          <w:szCs w:val="32"/>
          <w:lang w:val="en-US" w:eastAsia="zh-CN"/>
        </w:rPr>
        <w:t>一是加强党风廉政教育，</w:t>
      </w:r>
      <w:r>
        <w:rPr>
          <w:rFonts w:hint="eastAsia" w:ascii="仿宋_GB2312" w:hAnsi="仿宋_GB2312" w:eastAsia="仿宋_GB2312" w:cs="仿宋_GB2312"/>
          <w:kern w:val="2"/>
          <w:sz w:val="32"/>
          <w:szCs w:val="32"/>
          <w:lang w:val="en-US" w:eastAsia="zh-CN"/>
        </w:rPr>
        <w:t>严格落实党纪学习教育专项活动各项要求，</w:t>
      </w:r>
      <w:r>
        <w:rPr>
          <w:rFonts w:hint="eastAsia" w:ascii="仿宋_GB2312" w:hAnsi="仿宋_GB2312" w:eastAsia="仿宋_GB2312" w:cs="仿宋_GB2312"/>
          <w:sz w:val="32"/>
          <w:szCs w:val="32"/>
          <w:lang w:val="en-US" w:eastAsia="zh-CN"/>
        </w:rPr>
        <w:t>组织党员干部学习《党的纪律处分条例》，开展党风廉政宣传月活动等，全面提高党员干部的廉政意识和纪律观念。今年以来，党委书记讲全面从严治党暨廉政党课2次，召开党风廉政建设和反腐败工作动员部署会1次，填报干部廉政报告58份，组织干部集中观看《全面从严治党在西藏》第三集《反腐惩贪不停步》、《歧路》等警示教育片5次。二是严格落实中央八项规定和党纪处分条例，加强公车管理、公务接待和会议活动等方面的规范管理。紧盯“四风”问题，持续加强对党员干部“八小时以外”监督管理，督促党员干部严格自律，规范言行，杜绝干部违纪违规。三是加强权力运行监督。益庆乡建立健全权力运行监督机制，加强对领导干部的监督和管理。始终坚持民主集中制，严格执行“三重一大”重大事项决策制度规定，各支部严格执行“四议两公开”制度，严格规范“三资”管理相关事宜，确保权力运行公开透明。四是高位推动群腐工作，围绕群腐领域15件群众身边具体实事深入排查群众身边不正之风和腐败问题，今年以来，乡党委政府开展自查2次，深入各村、各领域排查14次，排查出问题13条，上报问题线索1条，整改完成12条。五持续深化作风建设。始终将进一步改进作风狠抓落实工作作为全年重点任务常抓不懈，围绕作风深化年，进一步细化举措，干部职工的能力素质、宗旨意识、纪律意识、行为举止、工作作风有效提升。今年以来，召开全面从严治党暨作风建设工作推进会2次，召开乡党委班子成员集体廉政座谈会1次。</w:t>
      </w:r>
    </w:p>
    <w:p>
      <w:pPr>
        <w:spacing w:line="576" w:lineRule="exact"/>
        <w:ind w:firstLine="640" w:firstLineChars="200"/>
        <w:rPr>
          <w:rFonts w:hint="eastAsia" w:ascii="仿宋" w:hAnsi="仿宋" w:eastAsia="仿宋"/>
          <w:sz w:val="32"/>
          <w:szCs w:val="32"/>
        </w:rPr>
      </w:pPr>
      <w:r>
        <w:rPr>
          <w:rFonts w:hint="eastAsia" w:ascii="仿宋_GB2312" w:hAnsi="仿宋_GB2312" w:eastAsia="仿宋_GB2312" w:cs="仿宋_GB2312"/>
          <w:sz w:val="32"/>
          <w:szCs w:val="32"/>
        </w:rPr>
        <w:t>矢志不渝守初心，奋发有为担使命。202</w:t>
      </w:r>
      <w:r>
        <w:rPr>
          <w:rFonts w:hint="eastAsia" w:ascii="仿宋_GB2312" w:hAnsi="仿宋" w:eastAsia="仿宋_GB2312" w:cs="仿宋"/>
          <w:sz w:val="32"/>
          <w:szCs w:val="32"/>
        </w:rPr>
        <w:t>5</w:t>
      </w:r>
      <w:r>
        <w:rPr>
          <w:rFonts w:hint="eastAsia" w:ascii="仿宋_GB2312" w:hAnsi="仿宋_GB2312" w:eastAsia="仿宋_GB2312" w:cs="仿宋_GB2312"/>
          <w:sz w:val="32"/>
          <w:szCs w:val="32"/>
        </w:rPr>
        <w:t>年，益庆乡党委政府将继续深入学习贯彻习近平新时代中国特色社会主义思想和党的二十届三中全会精神，在县委、县政府的坚强领导下，团结带领全乡人民以梦想为岸、以团结作帆、以奋斗划桨而不懈努力奋斗!</w:t>
      </w:r>
      <w:bookmarkStart w:id="6" w:name="_GoBack"/>
      <w:bookmarkEnd w:id="6"/>
    </w:p>
    <w:p>
      <w:pPr>
        <w:snapToGrid w:val="0"/>
        <w:spacing w:line="520" w:lineRule="exact"/>
        <w:ind w:firstLine="640" w:firstLineChars="200"/>
        <w:rPr>
          <w:rFonts w:hint="eastAsia" w:ascii="黑体" w:hAnsi="黑体" w:eastAsia="黑体"/>
          <w:sz w:val="32"/>
          <w:szCs w:val="32"/>
        </w:rPr>
      </w:pPr>
      <w:r>
        <w:rPr>
          <w:rFonts w:hint="eastAsia" w:ascii="黑体" w:hAnsi="黑体" w:eastAsia="黑体"/>
          <w:sz w:val="32"/>
          <w:szCs w:val="32"/>
        </w:rPr>
        <w:t>二、收入支出预算执行情况分析</w:t>
      </w:r>
    </w:p>
    <w:bookmarkEnd w:id="3"/>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（一）收入支出预算安排情况。</w:t>
      </w:r>
    </w:p>
    <w:p>
      <w:pPr>
        <w:snapToGrid w:val="0"/>
        <w:spacing w:line="5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w:t>
      </w:r>
      <w:r>
        <w:rPr>
          <w:rFonts w:hint="eastAsia" w:ascii="仿宋" w:hAnsi="仿宋" w:eastAsia="仿宋" w:cs="仿宋"/>
          <w:sz w:val="32"/>
          <w:szCs w:val="32"/>
        </w:rPr>
        <w:t>年我乡预算总指标为</w:t>
      </w:r>
      <w:r>
        <w:rPr>
          <w:rFonts w:hint="eastAsia" w:ascii="仿宋" w:hAnsi="仿宋" w:eastAsia="仿宋" w:cs="仿宋"/>
          <w:sz w:val="32"/>
          <w:szCs w:val="32"/>
          <w:lang w:val="en-US" w:eastAsia="zh-CN"/>
        </w:rPr>
        <w:t>20,620,334.11</w:t>
      </w:r>
      <w:r>
        <w:rPr>
          <w:rFonts w:hint="eastAsia" w:ascii="仿宋" w:hAnsi="仿宋" w:eastAsia="仿宋" w:cs="仿宋"/>
          <w:sz w:val="32"/>
          <w:szCs w:val="32"/>
        </w:rPr>
        <w:t>元，</w:t>
      </w: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年度收入年初预算数为</w:t>
      </w:r>
      <w:r>
        <w:rPr>
          <w:rFonts w:hint="eastAsia" w:ascii="仿宋" w:hAnsi="仿宋" w:eastAsia="仿宋" w:cs="仿宋"/>
          <w:sz w:val="32"/>
          <w:szCs w:val="32"/>
          <w:lang w:val="en-US" w:eastAsia="zh-CN"/>
        </w:rPr>
        <w:t>20,620,334.11</w:t>
      </w:r>
      <w:r>
        <w:rPr>
          <w:rFonts w:hint="eastAsia" w:ascii="仿宋" w:hAnsi="仿宋" w:eastAsia="仿宋" w:cs="仿宋"/>
          <w:sz w:val="32"/>
          <w:szCs w:val="32"/>
        </w:rPr>
        <w:t>元；支出年初预算数为</w:t>
      </w:r>
      <w:r>
        <w:rPr>
          <w:rFonts w:hint="eastAsia" w:ascii="仿宋" w:hAnsi="仿宋" w:eastAsia="仿宋" w:cs="仿宋"/>
          <w:sz w:val="32"/>
          <w:szCs w:val="32"/>
          <w:lang w:val="en-US" w:eastAsia="zh-CN"/>
        </w:rPr>
        <w:t>20,620,334.11</w:t>
      </w:r>
      <w:r>
        <w:rPr>
          <w:rFonts w:hint="eastAsia" w:ascii="仿宋" w:hAnsi="仿宋" w:eastAsia="仿宋" w:cs="仿宋"/>
          <w:sz w:val="32"/>
          <w:szCs w:val="32"/>
        </w:rPr>
        <w:t>元</w:t>
      </w: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年度</w:t>
      </w:r>
      <w:r>
        <w:rPr>
          <w:rFonts w:hint="eastAsia" w:ascii="仿宋" w:hAnsi="仿宋" w:eastAsia="仿宋" w:cs="仿宋"/>
          <w:sz w:val="32"/>
          <w:szCs w:val="32"/>
          <w:lang w:val="en-US" w:eastAsia="zh-CN"/>
        </w:rPr>
        <w:t>收入支出</w:t>
      </w:r>
      <w:r>
        <w:rPr>
          <w:rFonts w:hint="eastAsia" w:ascii="仿宋" w:hAnsi="仿宋" w:eastAsia="仿宋" w:cs="仿宋"/>
          <w:sz w:val="32"/>
          <w:szCs w:val="32"/>
        </w:rPr>
        <w:t>数为</w:t>
      </w:r>
      <w:r>
        <w:rPr>
          <w:rFonts w:hint="eastAsia" w:ascii="仿宋" w:hAnsi="仿宋" w:eastAsia="仿宋" w:cs="仿宋"/>
          <w:sz w:val="32"/>
          <w:szCs w:val="32"/>
          <w:lang w:val="en-US" w:eastAsia="zh-CN"/>
        </w:rPr>
        <w:t>19009717.3</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比上年度上升8.47%。</w:t>
      </w:r>
    </w:p>
    <w:p>
      <w:pPr>
        <w:snapToGrid w:val="0"/>
        <w:spacing w:line="520" w:lineRule="exact"/>
        <w:ind w:firstLine="643" w:firstLineChars="200"/>
        <w:outlineLvl w:val="0"/>
        <w:rPr>
          <w:rFonts w:hint="eastAsia" w:ascii="楷体_GB2312" w:hAnsi="仿宋" w:eastAsia="楷体_GB2312"/>
          <w:b/>
          <w:sz w:val="32"/>
          <w:szCs w:val="32"/>
        </w:rPr>
      </w:pPr>
      <w:r>
        <w:rPr>
          <w:rFonts w:hint="eastAsia" w:ascii="楷体_GB2312" w:hAnsi="仿宋" w:eastAsia="楷体_GB2312"/>
          <w:b/>
          <w:sz w:val="32"/>
          <w:szCs w:val="32"/>
        </w:rPr>
        <w:t>（二）收入支出预算执行情况。</w:t>
      </w:r>
    </w:p>
    <w:p>
      <w:pPr>
        <w:snapToGrid w:val="0"/>
        <w:spacing w:line="520" w:lineRule="exact"/>
        <w:ind w:firstLine="640" w:firstLineChars="200"/>
        <w:rPr>
          <w:rFonts w:hint="eastAsia" w:ascii="仿宋_GB2312" w:hAnsi="仿宋" w:eastAsia="仿宋_GB2312"/>
          <w:sz w:val="32"/>
          <w:szCs w:val="32"/>
        </w:rPr>
      </w:pPr>
      <w:r>
        <w:rPr>
          <w:rFonts w:hint="eastAsia" w:ascii="仿宋" w:hAnsi="仿宋" w:eastAsia="仿宋" w:cs="仿宋"/>
          <w:sz w:val="32"/>
          <w:szCs w:val="32"/>
          <w:lang w:val="en-US" w:eastAsia="zh-CN"/>
        </w:rPr>
        <w:t>202</w:t>
      </w:r>
      <w:r>
        <w:rPr>
          <w:rFonts w:hint="default" w:ascii="仿宋" w:hAnsi="仿宋" w:eastAsia="仿宋" w:cs="仿宋"/>
          <w:sz w:val="32"/>
          <w:szCs w:val="32"/>
          <w:lang w:eastAsia="zh-CN"/>
        </w:rPr>
        <w:t>4</w:t>
      </w:r>
      <w:r>
        <w:rPr>
          <w:rFonts w:hint="eastAsia" w:ascii="仿宋" w:hAnsi="仿宋" w:eastAsia="仿宋" w:cs="仿宋"/>
          <w:sz w:val="32"/>
          <w:szCs w:val="32"/>
        </w:rPr>
        <w:t>年我乡</w:t>
      </w:r>
      <w:r>
        <w:rPr>
          <w:rFonts w:hint="default" w:ascii="仿宋" w:hAnsi="仿宋" w:eastAsia="仿宋" w:cs="仿宋"/>
          <w:sz w:val="32"/>
          <w:szCs w:val="32"/>
        </w:rPr>
        <w:t>收入数</w:t>
      </w:r>
      <w:r>
        <w:rPr>
          <w:rFonts w:hint="eastAsia" w:ascii="仿宋" w:hAnsi="仿宋" w:eastAsia="仿宋" w:cs="仿宋"/>
          <w:sz w:val="32"/>
          <w:szCs w:val="32"/>
        </w:rPr>
        <w:t>为</w:t>
      </w:r>
      <w:r>
        <w:rPr>
          <w:rFonts w:hint="eastAsia" w:ascii="仿宋" w:hAnsi="仿宋" w:eastAsia="仿宋" w:cs="仿宋"/>
          <w:sz w:val="32"/>
          <w:szCs w:val="32"/>
          <w:lang w:val="en-US" w:eastAsia="zh-CN"/>
        </w:rPr>
        <w:t>20,620,334.11</w:t>
      </w:r>
      <w:r>
        <w:rPr>
          <w:rFonts w:hint="eastAsia" w:ascii="仿宋" w:hAnsi="仿宋" w:eastAsia="仿宋" w:cs="仿宋"/>
          <w:sz w:val="32"/>
          <w:szCs w:val="32"/>
        </w:rPr>
        <w:t>元，</w:t>
      </w: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年度</w:t>
      </w:r>
      <w:r>
        <w:rPr>
          <w:rFonts w:hint="eastAsia" w:ascii="仿宋" w:hAnsi="仿宋" w:eastAsia="仿宋" w:cs="仿宋"/>
          <w:sz w:val="32"/>
          <w:szCs w:val="32"/>
          <w:lang w:val="en-US" w:eastAsia="zh-CN"/>
        </w:rPr>
        <w:t>支出</w:t>
      </w:r>
      <w:r>
        <w:rPr>
          <w:rFonts w:hint="eastAsia" w:ascii="仿宋" w:hAnsi="仿宋" w:eastAsia="仿宋" w:cs="仿宋"/>
          <w:sz w:val="32"/>
          <w:szCs w:val="32"/>
        </w:rPr>
        <w:t>数为</w:t>
      </w:r>
      <w:r>
        <w:rPr>
          <w:rFonts w:hint="eastAsia" w:ascii="仿宋" w:hAnsi="仿宋" w:eastAsia="仿宋" w:cs="仿宋"/>
          <w:sz w:val="32"/>
          <w:szCs w:val="32"/>
          <w:lang w:val="en-US" w:eastAsia="zh-CN"/>
        </w:rPr>
        <w:t>20,620,334.11</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rPr>
        <w:t>财政拨款结转0元</w:t>
      </w:r>
      <w:r>
        <w:rPr>
          <w:rFonts w:hint="eastAsia" w:ascii="仿宋_GB2312" w:hAnsi="仿宋" w:eastAsia="仿宋_GB2312"/>
          <w:sz w:val="32"/>
          <w:szCs w:val="32"/>
        </w:rPr>
        <w:t>。</w:t>
      </w:r>
      <w:r>
        <w:rPr>
          <w:rFonts w:hint="eastAsia" w:ascii="仿宋_GB2312" w:hAnsi="仿宋" w:eastAsia="仿宋_GB2312"/>
          <w:sz w:val="32"/>
          <w:szCs w:val="32"/>
          <w:lang w:val="en-US" w:eastAsia="zh-CN"/>
        </w:rPr>
        <w:t>2023年收入</w:t>
      </w:r>
      <w:r>
        <w:rPr>
          <w:rFonts w:hint="eastAsia" w:ascii="仿宋" w:hAnsi="仿宋" w:eastAsia="仿宋" w:cs="仿宋"/>
          <w:sz w:val="32"/>
          <w:szCs w:val="32"/>
        </w:rPr>
        <w:t>支出数为</w:t>
      </w:r>
      <w:r>
        <w:rPr>
          <w:rFonts w:hint="eastAsia" w:ascii="仿宋" w:hAnsi="仿宋" w:eastAsia="仿宋" w:cs="仿宋"/>
          <w:sz w:val="32"/>
          <w:szCs w:val="32"/>
          <w:lang w:val="en-US" w:eastAsia="zh-CN"/>
        </w:rPr>
        <w:t>19009717.3</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比上年度上升8.47%。</w:t>
      </w:r>
    </w:p>
    <w:p>
      <w:pPr>
        <w:snapToGrid w:val="0"/>
        <w:spacing w:line="520" w:lineRule="exact"/>
        <w:ind w:firstLine="643" w:firstLineChars="200"/>
        <w:rPr>
          <w:rFonts w:hint="eastAsia" w:ascii="仿宋_GB2312" w:hAnsi="仿宋" w:eastAsia="仿宋_GB2312"/>
          <w:b/>
          <w:sz w:val="32"/>
          <w:szCs w:val="32"/>
        </w:rPr>
      </w:pPr>
      <w:r>
        <w:rPr>
          <w:rFonts w:hint="eastAsia" w:ascii="仿宋_GB2312" w:hAnsi="仿宋" w:eastAsia="仿宋_GB2312"/>
          <w:b/>
          <w:sz w:val="32"/>
          <w:szCs w:val="32"/>
        </w:rPr>
        <w:t>1．收入支出与预算对比分析。</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24</w:t>
      </w:r>
      <w:r>
        <w:rPr>
          <w:rFonts w:hint="eastAsia" w:ascii="仿宋_GB2312" w:hAnsi="仿宋" w:eastAsia="仿宋_GB2312"/>
          <w:sz w:val="32"/>
          <w:szCs w:val="32"/>
        </w:rPr>
        <w:t>年我乡预、决算差异情况，从以下收入支出功能科目、分单位、分收入支出具体项目逐项对比。</w:t>
      </w:r>
    </w:p>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表1      预决算差异对比分析表（依功能科目）</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                                       单位：元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1857"/>
        <w:gridCol w:w="1755"/>
        <w:gridCol w:w="1665"/>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功能科目</w:t>
            </w:r>
          </w:p>
        </w:tc>
        <w:tc>
          <w:tcPr>
            <w:tcW w:w="1857"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28"/>
                <w:szCs w:val="28"/>
              </w:rPr>
              <w:t>年初预算数</w:t>
            </w:r>
          </w:p>
        </w:tc>
        <w:tc>
          <w:tcPr>
            <w:tcW w:w="1755"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决算数</w:t>
            </w:r>
          </w:p>
        </w:tc>
        <w:tc>
          <w:tcPr>
            <w:tcW w:w="1665"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增减额度</w:t>
            </w:r>
          </w:p>
        </w:tc>
        <w:tc>
          <w:tcPr>
            <w:tcW w:w="923"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一般公共服务支出</w:t>
            </w:r>
          </w:p>
        </w:tc>
        <w:tc>
          <w:tcPr>
            <w:tcW w:w="1857" w:type="dxa"/>
            <w:noWrap w:val="0"/>
            <w:vAlign w:val="center"/>
          </w:tcPr>
          <w:p>
            <w:pPr>
              <w:keepNext w:val="0"/>
              <w:keepLines w:val="0"/>
              <w:widowControl/>
              <w:suppressLineNumbers w:val="0"/>
              <w:ind w:firstLine="480" w:firstLineChars="200"/>
              <w:jc w:val="center"/>
              <w:textAlignment w:val="center"/>
              <w:rPr>
                <w:rFonts w:hint="eastAsia" w:ascii="宋体" w:hAnsi="宋体" w:eastAsia="宋体" w:cs="宋体"/>
                <w:sz w:val="18"/>
                <w:szCs w:val="18"/>
                <w:lang w:val="en-US" w:eastAsia="zh-CN"/>
              </w:rPr>
            </w:pPr>
            <w:r>
              <w:rPr>
                <w:rFonts w:ascii="宋体" w:hAnsi="宋体" w:eastAsia="宋体" w:cs="宋体"/>
                <w:sz w:val="24"/>
                <w:szCs w:val="24"/>
              </w:rPr>
              <w:t>160000</w:t>
            </w:r>
          </w:p>
        </w:tc>
        <w:tc>
          <w:tcPr>
            <w:tcW w:w="1755" w:type="dxa"/>
            <w:noWrap w:val="0"/>
            <w:vAlign w:val="center"/>
          </w:tcPr>
          <w:p>
            <w:pPr>
              <w:snapToGrid w:val="0"/>
              <w:spacing w:line="520" w:lineRule="exact"/>
              <w:ind w:firstLine="240" w:firstLineChars="100"/>
              <w:jc w:val="center"/>
              <w:rPr>
                <w:rFonts w:hint="eastAsia" w:ascii="宋体" w:hAnsi="宋体" w:eastAsia="宋体" w:cs="宋体"/>
                <w:sz w:val="18"/>
                <w:szCs w:val="18"/>
                <w:lang w:val="en-US"/>
              </w:rPr>
            </w:pPr>
            <w:r>
              <w:rPr>
                <w:rFonts w:ascii="宋体" w:hAnsi="宋体" w:eastAsia="宋体" w:cs="宋体"/>
                <w:sz w:val="24"/>
                <w:szCs w:val="24"/>
              </w:rPr>
              <w:t>761320</w:t>
            </w:r>
          </w:p>
        </w:tc>
        <w:tc>
          <w:tcPr>
            <w:tcW w:w="1665"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601,320.00</w:t>
            </w:r>
          </w:p>
        </w:tc>
        <w:tc>
          <w:tcPr>
            <w:tcW w:w="9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22" w:type="dxa"/>
            <w:noWrap w:val="0"/>
            <w:vAlign w:val="top"/>
          </w:tcPr>
          <w:p>
            <w:pPr>
              <w:snapToGrid w:val="0"/>
              <w:spacing w:line="520" w:lineRule="exact"/>
              <w:jc w:val="center"/>
              <w:rPr>
                <w:rFonts w:hint="eastAsia" w:ascii="宋体" w:hAnsi="宋体" w:eastAsia="宋体" w:cs="宋体"/>
                <w:sz w:val="18"/>
                <w:szCs w:val="18"/>
              </w:rPr>
            </w:pPr>
            <w:r>
              <w:rPr>
                <w:rFonts w:hint="eastAsia" w:ascii="宋体" w:hAnsi="宋体" w:eastAsia="宋体" w:cs="宋体"/>
                <w:sz w:val="18"/>
                <w:szCs w:val="18"/>
              </w:rPr>
              <w:t>城乡社区支出</w:t>
            </w:r>
          </w:p>
        </w:tc>
        <w:tc>
          <w:tcPr>
            <w:tcW w:w="1857"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sz w:val="24"/>
                <w:szCs w:val="24"/>
                <w:lang w:val="en-US" w:eastAsia="zh-CN"/>
              </w:rPr>
              <w:t>14992291</w:t>
            </w:r>
          </w:p>
        </w:tc>
        <w:tc>
          <w:tcPr>
            <w:tcW w:w="1755"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rPr>
            </w:pPr>
            <w:r>
              <w:rPr>
                <w:rFonts w:hint="eastAsia" w:ascii="宋体" w:hAnsi="宋体" w:eastAsia="宋体" w:cs="宋体"/>
                <w:sz w:val="24"/>
                <w:szCs w:val="24"/>
                <w:lang w:val="en-US" w:eastAsia="zh-CN"/>
              </w:rPr>
              <w:t>15926996.11</w:t>
            </w:r>
          </w:p>
        </w:tc>
        <w:tc>
          <w:tcPr>
            <w:tcW w:w="1665"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934,705.11</w:t>
            </w:r>
          </w:p>
        </w:tc>
        <w:tc>
          <w:tcPr>
            <w:tcW w:w="9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eastAsia" w:ascii="宋体" w:hAnsi="宋体" w:eastAsia="宋体" w:cs="宋体"/>
                <w:sz w:val="18"/>
                <w:szCs w:val="18"/>
              </w:rPr>
            </w:pPr>
            <w:r>
              <w:rPr>
                <w:rFonts w:hint="eastAsia" w:ascii="宋体" w:hAnsi="宋体" w:eastAsia="宋体" w:cs="宋体"/>
                <w:sz w:val="18"/>
                <w:szCs w:val="18"/>
              </w:rPr>
              <w:t>文化体育与传媒支出</w:t>
            </w:r>
          </w:p>
        </w:tc>
        <w:tc>
          <w:tcPr>
            <w:tcW w:w="1857"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180000</w:t>
            </w:r>
          </w:p>
        </w:tc>
        <w:tc>
          <w:tcPr>
            <w:tcW w:w="1755"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300000</w:t>
            </w:r>
          </w:p>
        </w:tc>
        <w:tc>
          <w:tcPr>
            <w:tcW w:w="1665"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120,000.00</w:t>
            </w:r>
          </w:p>
        </w:tc>
        <w:tc>
          <w:tcPr>
            <w:tcW w:w="9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卫生健康支出</w:t>
            </w:r>
          </w:p>
        </w:tc>
        <w:tc>
          <w:tcPr>
            <w:tcW w:w="1857"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1306400</w:t>
            </w:r>
          </w:p>
        </w:tc>
        <w:tc>
          <w:tcPr>
            <w:tcW w:w="1755"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rPr>
            </w:pPr>
            <w:r>
              <w:rPr>
                <w:rFonts w:hint="eastAsia" w:ascii="宋体" w:hAnsi="宋体" w:eastAsia="宋体" w:cs="宋体"/>
                <w:i w:val="0"/>
                <w:color w:val="000000"/>
                <w:kern w:val="0"/>
                <w:sz w:val="18"/>
                <w:szCs w:val="18"/>
                <w:u w:val="none"/>
                <w:lang w:val="en-US" w:eastAsia="zh-CN" w:bidi="ar-SA"/>
              </w:rPr>
              <w:t>1333400</w:t>
            </w:r>
          </w:p>
        </w:tc>
        <w:tc>
          <w:tcPr>
            <w:tcW w:w="1665"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27000</w:t>
            </w:r>
          </w:p>
        </w:tc>
        <w:tc>
          <w:tcPr>
            <w:tcW w:w="9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eastAsia" w:ascii="宋体" w:hAnsi="宋体" w:eastAsia="宋体" w:cs="宋体"/>
                <w:sz w:val="18"/>
                <w:szCs w:val="18"/>
              </w:rPr>
            </w:pPr>
            <w:r>
              <w:rPr>
                <w:rFonts w:hint="eastAsia" w:ascii="宋体" w:hAnsi="宋体" w:eastAsia="宋体" w:cs="宋体"/>
                <w:sz w:val="18"/>
                <w:szCs w:val="18"/>
              </w:rPr>
              <w:t>社会保障和就业支出</w:t>
            </w:r>
          </w:p>
        </w:tc>
        <w:tc>
          <w:tcPr>
            <w:tcW w:w="1857"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22"/>
                <w:szCs w:val="22"/>
                <w:u w:val="none"/>
                <w:lang w:val="en-US" w:eastAsia="zh-CN" w:bidi="ar"/>
              </w:rPr>
              <w:t>2088500</w:t>
            </w:r>
          </w:p>
        </w:tc>
        <w:tc>
          <w:tcPr>
            <w:tcW w:w="1755"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rPr>
            </w:pPr>
            <w:r>
              <w:rPr>
                <w:rFonts w:hint="eastAsia" w:ascii="宋体" w:hAnsi="宋体" w:eastAsia="宋体" w:cs="宋体"/>
                <w:i w:val="0"/>
                <w:iCs w:val="0"/>
                <w:color w:val="000000"/>
                <w:kern w:val="0"/>
                <w:sz w:val="22"/>
                <w:szCs w:val="22"/>
                <w:u w:val="none"/>
                <w:lang w:val="en-US" w:eastAsia="zh-CN" w:bidi="ar"/>
              </w:rPr>
              <w:t>2248500</w:t>
            </w:r>
          </w:p>
        </w:tc>
        <w:tc>
          <w:tcPr>
            <w:tcW w:w="1665"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160000</w:t>
            </w:r>
          </w:p>
        </w:tc>
        <w:tc>
          <w:tcPr>
            <w:tcW w:w="9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住房保障支出</w:t>
            </w:r>
          </w:p>
        </w:tc>
        <w:tc>
          <w:tcPr>
            <w:tcW w:w="1857" w:type="dxa"/>
            <w:noWrap w:val="0"/>
            <w:vAlign w:val="center"/>
          </w:tcPr>
          <w:p>
            <w:pPr>
              <w:snapToGrid w:val="0"/>
              <w:spacing w:line="520" w:lineRule="exact"/>
              <w:jc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22"/>
                <w:szCs w:val="22"/>
                <w:u w:val="none"/>
                <w:lang w:val="en-US" w:eastAsia="zh-CN" w:bidi="ar"/>
              </w:rPr>
              <w:t>1566400</w:t>
            </w:r>
          </w:p>
        </w:tc>
        <w:tc>
          <w:tcPr>
            <w:tcW w:w="1755" w:type="dxa"/>
            <w:noWrap w:val="0"/>
            <w:vAlign w:val="center"/>
          </w:tcPr>
          <w:p>
            <w:pPr>
              <w:snapToGrid w:val="0"/>
              <w:spacing w:line="52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0</w:t>
            </w:r>
          </w:p>
        </w:tc>
        <w:tc>
          <w:tcPr>
            <w:tcW w:w="1665" w:type="dxa"/>
            <w:noWrap w:val="0"/>
            <w:vAlign w:val="top"/>
          </w:tcPr>
          <w:p>
            <w:pPr>
              <w:snapToGrid w:val="0"/>
              <w:spacing w:line="520" w:lineRule="exact"/>
              <w:jc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22"/>
                <w:szCs w:val="22"/>
                <w:u w:val="none"/>
                <w:lang w:val="en-US" w:eastAsia="zh-CN" w:bidi="ar"/>
              </w:rPr>
              <w:t>-1566400</w:t>
            </w:r>
          </w:p>
        </w:tc>
        <w:tc>
          <w:tcPr>
            <w:tcW w:w="923" w:type="dxa"/>
            <w:noWrap w:val="0"/>
            <w:vAlign w:val="top"/>
          </w:tcPr>
          <w:p>
            <w:pPr>
              <w:snapToGrid w:val="0"/>
              <w:spacing w:line="52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灾害防治及应急管理支出</w:t>
            </w:r>
          </w:p>
        </w:tc>
        <w:tc>
          <w:tcPr>
            <w:tcW w:w="1857"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p>
        </w:tc>
        <w:tc>
          <w:tcPr>
            <w:tcW w:w="1755" w:type="dxa"/>
            <w:noWrap w:val="0"/>
            <w:vAlign w:val="center"/>
          </w:tcPr>
          <w:p>
            <w:pPr>
              <w:snapToGrid w:val="0"/>
              <w:spacing w:line="520" w:lineRule="exact"/>
              <w:jc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22"/>
                <w:szCs w:val="22"/>
                <w:u w:val="none"/>
                <w:lang w:val="en-US" w:eastAsia="zh-CN" w:bidi="ar"/>
              </w:rPr>
              <w:t>31680</w:t>
            </w:r>
          </w:p>
        </w:tc>
        <w:tc>
          <w:tcPr>
            <w:tcW w:w="1665" w:type="dxa"/>
            <w:noWrap w:val="0"/>
            <w:vAlign w:val="top"/>
          </w:tcPr>
          <w:p>
            <w:pPr>
              <w:snapToGrid w:val="0"/>
              <w:spacing w:line="520" w:lineRule="exact"/>
              <w:jc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22"/>
                <w:szCs w:val="22"/>
                <w:u w:val="none"/>
                <w:lang w:val="en-US" w:eastAsia="zh-CN" w:bidi="ar"/>
              </w:rPr>
              <w:t>31680</w:t>
            </w:r>
          </w:p>
        </w:tc>
        <w:tc>
          <w:tcPr>
            <w:tcW w:w="923" w:type="dxa"/>
            <w:noWrap w:val="0"/>
            <w:vAlign w:val="top"/>
          </w:tcPr>
          <w:p>
            <w:pPr>
              <w:snapToGrid w:val="0"/>
              <w:spacing w:line="52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国防支出</w:t>
            </w:r>
          </w:p>
        </w:tc>
        <w:tc>
          <w:tcPr>
            <w:tcW w:w="1857" w:type="dxa"/>
            <w:noWrap w:val="0"/>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p>
        </w:tc>
        <w:tc>
          <w:tcPr>
            <w:tcW w:w="1755" w:type="dxa"/>
            <w:noWrap w:val="0"/>
            <w:vAlign w:val="center"/>
          </w:tcPr>
          <w:p>
            <w:pPr>
              <w:snapToGrid w:val="0"/>
              <w:spacing w:line="520" w:lineRule="exact"/>
              <w:jc w:val="center"/>
              <w:rPr>
                <w:rFonts w:hint="default" w:ascii="宋体" w:hAnsi="宋体" w:eastAsia="宋体" w:cs="宋体"/>
                <w:i w:val="0"/>
                <w:color w:val="000000"/>
                <w:kern w:val="0"/>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18438</w:t>
            </w:r>
          </w:p>
        </w:tc>
        <w:tc>
          <w:tcPr>
            <w:tcW w:w="1665" w:type="dxa"/>
            <w:noWrap w:val="0"/>
            <w:vAlign w:val="top"/>
          </w:tcPr>
          <w:p>
            <w:pPr>
              <w:snapToGrid w:val="0"/>
              <w:spacing w:line="520" w:lineRule="exact"/>
              <w:jc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22"/>
                <w:szCs w:val="22"/>
                <w:u w:val="none"/>
                <w:lang w:val="en-US" w:eastAsia="zh-CN" w:bidi="ar"/>
              </w:rPr>
              <w:t>18438</w:t>
            </w:r>
          </w:p>
        </w:tc>
        <w:tc>
          <w:tcPr>
            <w:tcW w:w="923" w:type="dxa"/>
            <w:noWrap w:val="0"/>
            <w:vAlign w:val="top"/>
          </w:tcPr>
          <w:p>
            <w:pPr>
              <w:snapToGrid w:val="0"/>
              <w:spacing w:line="52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noWrap w:val="0"/>
            <w:vAlign w:val="top"/>
          </w:tcPr>
          <w:p>
            <w:pPr>
              <w:snapToGrid w:val="0"/>
              <w:spacing w:line="52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合计</w:t>
            </w:r>
          </w:p>
        </w:tc>
        <w:tc>
          <w:tcPr>
            <w:tcW w:w="1857" w:type="dxa"/>
            <w:noWrap w:val="0"/>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20293591</w:t>
            </w:r>
          </w:p>
        </w:tc>
        <w:tc>
          <w:tcPr>
            <w:tcW w:w="1755" w:type="dxa"/>
            <w:noWrap w:val="0"/>
            <w:vAlign w:val="center"/>
          </w:tcPr>
          <w:p>
            <w:pPr>
              <w:snapToGrid w:val="0"/>
              <w:spacing w:line="520" w:lineRule="exact"/>
              <w:jc w:val="center"/>
              <w:rPr>
                <w:rFonts w:hint="default" w:ascii="宋体" w:hAnsi="宋体" w:eastAsia="宋体" w:cs="宋体"/>
                <w:i w:val="0"/>
                <w:color w:val="000000"/>
                <w:kern w:val="0"/>
                <w:sz w:val="18"/>
                <w:szCs w:val="18"/>
                <w:u w:val="none"/>
                <w:lang w:val="en-US" w:eastAsia="zh-CN" w:bidi="ar-SA"/>
              </w:rPr>
            </w:pPr>
            <w:r>
              <w:rPr>
                <w:rFonts w:hint="eastAsia" w:ascii="宋体" w:hAnsi="宋体" w:cs="宋体"/>
                <w:i w:val="0"/>
                <w:iCs w:val="0"/>
                <w:color w:val="000000"/>
                <w:kern w:val="0"/>
                <w:sz w:val="22"/>
                <w:szCs w:val="22"/>
                <w:u w:val="none"/>
                <w:lang w:val="en-US" w:eastAsia="zh-CN" w:bidi="ar"/>
              </w:rPr>
              <w:t>20620334.11</w:t>
            </w:r>
          </w:p>
        </w:tc>
        <w:tc>
          <w:tcPr>
            <w:tcW w:w="1665" w:type="dxa"/>
            <w:noWrap w:val="0"/>
            <w:vAlign w:val="top"/>
          </w:tcPr>
          <w:p>
            <w:pPr>
              <w:snapToGrid w:val="0"/>
              <w:spacing w:line="520" w:lineRule="exact"/>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326743.11</w:t>
            </w:r>
          </w:p>
        </w:tc>
        <w:tc>
          <w:tcPr>
            <w:tcW w:w="923" w:type="dxa"/>
            <w:noWrap w:val="0"/>
            <w:vAlign w:val="top"/>
          </w:tcPr>
          <w:p>
            <w:pPr>
              <w:snapToGrid w:val="0"/>
              <w:spacing w:line="52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1.61%</w:t>
            </w:r>
          </w:p>
        </w:tc>
      </w:tr>
    </w:tbl>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表2      预决算差异对比分析表（依收支项目）</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                                       单位：元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16"/>
                <w:szCs w:val="16"/>
              </w:rPr>
              <w:t>支出性质和经济分类</w:t>
            </w:r>
          </w:p>
        </w:tc>
        <w:tc>
          <w:tcPr>
            <w:tcW w:w="1704"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28"/>
                <w:szCs w:val="28"/>
              </w:rPr>
              <w:t>年初预算数</w:t>
            </w:r>
          </w:p>
        </w:tc>
        <w:tc>
          <w:tcPr>
            <w:tcW w:w="1704"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决算数</w:t>
            </w:r>
          </w:p>
        </w:tc>
        <w:tc>
          <w:tcPr>
            <w:tcW w:w="1705"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增减额度</w:t>
            </w:r>
          </w:p>
        </w:tc>
        <w:tc>
          <w:tcPr>
            <w:tcW w:w="1705"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snapToGrid w:val="0"/>
              <w:spacing w:line="520" w:lineRule="exact"/>
              <w:rPr>
                <w:rFonts w:hint="eastAsia" w:ascii="宋体" w:hAnsi="宋体" w:eastAsia="宋体" w:cs="宋体"/>
                <w:sz w:val="18"/>
                <w:szCs w:val="18"/>
              </w:rPr>
            </w:pPr>
            <w:r>
              <w:rPr>
                <w:rFonts w:hint="eastAsia" w:ascii="宋体" w:hAnsi="宋体" w:eastAsia="宋体" w:cs="宋体"/>
                <w:sz w:val="18"/>
                <w:szCs w:val="18"/>
              </w:rPr>
              <w:t>人员经费支出</w:t>
            </w:r>
          </w:p>
        </w:tc>
        <w:tc>
          <w:tcPr>
            <w:tcW w:w="1704" w:type="dxa"/>
            <w:noWrap w:val="0"/>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sz w:val="24"/>
                <w:szCs w:val="24"/>
              </w:rPr>
              <w:t>18584656</w:t>
            </w:r>
          </w:p>
        </w:tc>
        <w:tc>
          <w:tcPr>
            <w:tcW w:w="1704" w:type="dxa"/>
            <w:noWrap w:val="0"/>
            <w:vAlign w:val="center"/>
          </w:tcPr>
          <w:p>
            <w:pPr>
              <w:keepNext w:val="0"/>
              <w:keepLines w:val="0"/>
              <w:widowControl/>
              <w:suppressLineNumbers w:val="0"/>
              <w:jc w:val="center"/>
              <w:textAlignment w:val="center"/>
              <w:rPr>
                <w:rFonts w:hint="eastAsia" w:ascii="宋体" w:hAnsi="宋体" w:eastAsia="宋体" w:cs="宋体"/>
                <w:sz w:val="18"/>
                <w:szCs w:val="18"/>
                <w:lang w:val="en-US"/>
              </w:rPr>
            </w:pPr>
            <w:r>
              <w:rPr>
                <w:rFonts w:ascii="宋体" w:hAnsi="宋体" w:eastAsia="宋体" w:cs="宋体"/>
                <w:sz w:val="24"/>
                <w:szCs w:val="24"/>
              </w:rPr>
              <w:t>17275040.65</w:t>
            </w:r>
          </w:p>
        </w:tc>
        <w:tc>
          <w:tcPr>
            <w:tcW w:w="1705" w:type="dxa"/>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-1,309,615.35</w:t>
            </w:r>
          </w:p>
        </w:tc>
        <w:tc>
          <w:tcPr>
            <w:tcW w:w="1705" w:type="dxa"/>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snapToGrid w:val="0"/>
              <w:spacing w:line="520" w:lineRule="exact"/>
              <w:rPr>
                <w:rFonts w:hint="eastAsia" w:ascii="宋体" w:hAnsi="宋体" w:eastAsia="宋体" w:cs="宋体"/>
                <w:sz w:val="18"/>
                <w:szCs w:val="18"/>
              </w:rPr>
            </w:pPr>
            <w:r>
              <w:rPr>
                <w:rFonts w:hint="eastAsia" w:ascii="宋体" w:hAnsi="宋体" w:eastAsia="宋体" w:cs="宋体"/>
                <w:sz w:val="18"/>
                <w:szCs w:val="18"/>
              </w:rPr>
              <w:t>日常公用经费</w:t>
            </w:r>
          </w:p>
        </w:tc>
        <w:tc>
          <w:tcPr>
            <w:tcW w:w="1704" w:type="dxa"/>
            <w:noWrap w:val="0"/>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sz w:val="24"/>
                <w:szCs w:val="24"/>
              </w:rPr>
              <w:t>857935</w:t>
            </w:r>
          </w:p>
        </w:tc>
        <w:tc>
          <w:tcPr>
            <w:tcW w:w="1704" w:type="dxa"/>
            <w:noWrap w:val="0"/>
            <w:vAlign w:val="center"/>
          </w:tcPr>
          <w:p>
            <w:pPr>
              <w:keepNext w:val="0"/>
              <w:keepLines w:val="0"/>
              <w:widowControl/>
              <w:suppressLineNumbers w:val="0"/>
              <w:jc w:val="center"/>
              <w:textAlignment w:val="center"/>
              <w:rPr>
                <w:rFonts w:hint="eastAsia" w:ascii="宋体" w:hAnsi="宋体" w:eastAsia="宋体" w:cs="宋体"/>
                <w:sz w:val="18"/>
                <w:szCs w:val="18"/>
                <w:lang w:val="en-US"/>
              </w:rPr>
            </w:pPr>
            <w:r>
              <w:rPr>
                <w:rFonts w:ascii="宋体" w:hAnsi="宋体" w:eastAsia="宋体" w:cs="宋体"/>
                <w:sz w:val="24"/>
                <w:szCs w:val="24"/>
              </w:rPr>
              <w:t>829292.46</w:t>
            </w:r>
          </w:p>
        </w:tc>
        <w:tc>
          <w:tcPr>
            <w:tcW w:w="1705" w:type="dxa"/>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-28,642.54</w:t>
            </w:r>
          </w:p>
        </w:tc>
        <w:tc>
          <w:tcPr>
            <w:tcW w:w="1705" w:type="dxa"/>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704" w:type="dxa"/>
            <w:noWrap w:val="0"/>
            <w:vAlign w:val="top"/>
          </w:tcPr>
          <w:p>
            <w:pPr>
              <w:snapToGrid w:val="0"/>
              <w:spacing w:line="520" w:lineRule="exact"/>
              <w:rPr>
                <w:rFonts w:hint="eastAsia" w:ascii="宋体" w:hAnsi="宋体" w:eastAsia="宋体" w:cs="宋体"/>
                <w:sz w:val="18"/>
                <w:szCs w:val="18"/>
              </w:rPr>
            </w:pPr>
            <w:r>
              <w:rPr>
                <w:rFonts w:hint="eastAsia" w:ascii="宋体" w:hAnsi="宋体" w:eastAsia="宋体" w:cs="宋体"/>
                <w:sz w:val="18"/>
                <w:szCs w:val="18"/>
              </w:rPr>
              <w:t>项目支出</w:t>
            </w:r>
          </w:p>
        </w:tc>
        <w:tc>
          <w:tcPr>
            <w:tcW w:w="1704" w:type="dxa"/>
            <w:noWrap w:val="0"/>
            <w:vAlign w:val="center"/>
          </w:tcPr>
          <w:p>
            <w:pPr>
              <w:keepNext w:val="0"/>
              <w:keepLines w:val="0"/>
              <w:widowControl/>
              <w:suppressLineNumbers w:val="0"/>
              <w:ind w:firstLine="480" w:firstLineChars="200"/>
              <w:jc w:val="both"/>
              <w:textAlignment w:val="center"/>
              <w:rPr>
                <w:rFonts w:hint="eastAsia" w:ascii="宋体" w:hAnsi="宋体" w:eastAsia="宋体" w:cs="宋体"/>
                <w:sz w:val="18"/>
                <w:szCs w:val="18"/>
                <w:lang w:val="en-US" w:eastAsia="zh-CN"/>
              </w:rPr>
            </w:pPr>
            <w:r>
              <w:rPr>
                <w:rFonts w:ascii="宋体" w:hAnsi="宋体" w:eastAsia="宋体" w:cs="宋体"/>
                <w:sz w:val="24"/>
                <w:szCs w:val="24"/>
              </w:rPr>
              <w:t>851000</w:t>
            </w:r>
          </w:p>
        </w:tc>
        <w:tc>
          <w:tcPr>
            <w:tcW w:w="1704" w:type="dxa"/>
            <w:noWrap w:val="0"/>
            <w:vAlign w:val="center"/>
          </w:tcPr>
          <w:p>
            <w:pPr>
              <w:keepNext w:val="0"/>
              <w:keepLines w:val="0"/>
              <w:widowControl/>
              <w:suppressLineNumbers w:val="0"/>
              <w:jc w:val="center"/>
              <w:textAlignment w:val="center"/>
              <w:rPr>
                <w:rFonts w:hint="eastAsia" w:ascii="宋体" w:hAnsi="宋体" w:eastAsia="宋体" w:cs="宋体"/>
                <w:sz w:val="18"/>
                <w:szCs w:val="18"/>
                <w:lang w:val="en-US"/>
              </w:rPr>
            </w:pPr>
            <w:r>
              <w:rPr>
                <w:rFonts w:ascii="宋体" w:hAnsi="宋体" w:eastAsia="宋体" w:cs="宋体"/>
                <w:sz w:val="24"/>
                <w:szCs w:val="24"/>
              </w:rPr>
              <w:t>2516001</w:t>
            </w:r>
          </w:p>
        </w:tc>
        <w:tc>
          <w:tcPr>
            <w:tcW w:w="1705" w:type="dxa"/>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1,665,001.00</w:t>
            </w:r>
          </w:p>
        </w:tc>
        <w:tc>
          <w:tcPr>
            <w:tcW w:w="1705" w:type="dxa"/>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snapToGrid w:val="0"/>
              <w:spacing w:line="52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合计</w:t>
            </w:r>
          </w:p>
        </w:tc>
        <w:tc>
          <w:tcPr>
            <w:tcW w:w="1704" w:type="dxa"/>
            <w:noWrap w:val="0"/>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20293591</w:t>
            </w:r>
          </w:p>
        </w:tc>
        <w:tc>
          <w:tcPr>
            <w:tcW w:w="1704" w:type="dxa"/>
            <w:noWrap w:val="0"/>
            <w:vAlign w:val="center"/>
          </w:tcPr>
          <w:p>
            <w:pPr>
              <w:snapToGrid w:val="0"/>
              <w:spacing w:line="520" w:lineRule="exact"/>
              <w:jc w:val="center"/>
              <w:rPr>
                <w:rFonts w:hint="eastAsia" w:ascii="宋体" w:hAnsi="宋体" w:eastAsia="宋体" w:cs="宋体"/>
                <w:i w:val="0"/>
                <w:color w:val="000000"/>
                <w:kern w:val="0"/>
                <w:sz w:val="18"/>
                <w:szCs w:val="18"/>
                <w:u w:val="none"/>
                <w:lang w:val="en-US" w:eastAsia="zh-CN" w:bidi="ar-SA"/>
              </w:rPr>
            </w:pPr>
            <w:r>
              <w:rPr>
                <w:rFonts w:hint="eastAsia" w:ascii="宋体" w:hAnsi="宋体" w:cs="宋体"/>
                <w:i w:val="0"/>
                <w:iCs w:val="0"/>
                <w:color w:val="000000"/>
                <w:kern w:val="0"/>
                <w:sz w:val="22"/>
                <w:szCs w:val="22"/>
                <w:u w:val="none"/>
                <w:lang w:val="en-US" w:eastAsia="zh-CN" w:bidi="ar"/>
              </w:rPr>
              <w:t>20620334.11</w:t>
            </w:r>
          </w:p>
        </w:tc>
        <w:tc>
          <w:tcPr>
            <w:tcW w:w="1705" w:type="dxa"/>
            <w:noWrap w:val="0"/>
            <w:vAlign w:val="top"/>
          </w:tcPr>
          <w:p>
            <w:pPr>
              <w:snapToGrid w:val="0"/>
              <w:spacing w:line="520" w:lineRule="exact"/>
              <w:jc w:val="center"/>
              <w:rPr>
                <w:rFonts w:hint="eastAsia" w:ascii="宋体" w:hAnsi="宋体" w:eastAsia="宋体" w:cs="宋体"/>
                <w:kern w:val="2"/>
                <w:sz w:val="18"/>
                <w:szCs w:val="18"/>
                <w:lang w:val="en-US" w:eastAsia="zh-CN" w:bidi="ar-SA"/>
              </w:rPr>
            </w:pPr>
            <w:r>
              <w:rPr>
                <w:rFonts w:hint="eastAsia" w:ascii="宋体" w:hAnsi="宋体" w:cs="宋体"/>
                <w:i w:val="0"/>
                <w:iCs w:val="0"/>
                <w:color w:val="000000"/>
                <w:kern w:val="0"/>
                <w:sz w:val="22"/>
                <w:szCs w:val="22"/>
                <w:u w:val="none"/>
                <w:lang w:val="en-US" w:eastAsia="zh-CN" w:bidi="ar"/>
              </w:rPr>
              <w:t>326743.11</w:t>
            </w:r>
          </w:p>
        </w:tc>
        <w:tc>
          <w:tcPr>
            <w:tcW w:w="1705" w:type="dxa"/>
            <w:noWrap w:val="0"/>
            <w:vAlign w:val="top"/>
          </w:tcPr>
          <w:p>
            <w:pPr>
              <w:snapToGrid w:val="0"/>
              <w:spacing w:line="52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22"/>
                <w:szCs w:val="22"/>
                <w:u w:val="none"/>
                <w:lang w:val="en-US" w:eastAsia="zh-CN" w:bidi="ar"/>
              </w:rPr>
              <w:t>1.61%</w:t>
            </w:r>
          </w:p>
        </w:tc>
      </w:tr>
    </w:tbl>
    <w:p>
      <w:pPr>
        <w:snapToGrid w:val="0"/>
        <w:spacing w:line="520" w:lineRule="exact"/>
        <w:ind w:firstLine="643" w:firstLineChars="200"/>
        <w:rPr>
          <w:rFonts w:hint="eastAsia" w:ascii="仿宋_GB2312" w:hAnsi="仿宋" w:eastAsia="仿宋_GB2312"/>
          <w:b/>
          <w:sz w:val="32"/>
          <w:szCs w:val="32"/>
        </w:rPr>
      </w:pPr>
      <w:r>
        <w:rPr>
          <w:rFonts w:hint="eastAsia" w:ascii="仿宋_GB2312" w:hAnsi="仿宋" w:eastAsia="仿宋_GB2312"/>
          <w:b/>
          <w:sz w:val="32"/>
          <w:szCs w:val="32"/>
        </w:rPr>
        <w:t>2．收入支出结构分析。</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（1）各项收入占总收入的比重，各项支出占总支出的比重（可分别制作饼状图）。</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w:t>
      </w:r>
      <w:r>
        <w:rPr>
          <w:rFonts w:hint="default" w:ascii="仿宋_GB2312" w:hAnsi="仿宋" w:eastAsia="仿宋_GB2312"/>
          <w:sz w:val="32"/>
          <w:szCs w:val="32"/>
          <w:lang w:eastAsia="zh-CN"/>
        </w:rPr>
        <w:t>4</w:t>
      </w:r>
      <w:r>
        <w:rPr>
          <w:rFonts w:hint="eastAsia" w:ascii="仿宋_GB2312" w:hAnsi="仿宋" w:eastAsia="仿宋_GB2312"/>
          <w:sz w:val="32"/>
          <w:szCs w:val="32"/>
        </w:rPr>
        <w:t>年我乡总收入为</w:t>
      </w:r>
      <w:r>
        <w:rPr>
          <w:rFonts w:hint="eastAsia" w:ascii="仿宋" w:hAnsi="仿宋" w:eastAsia="仿宋" w:cs="仿宋"/>
          <w:sz w:val="32"/>
          <w:szCs w:val="32"/>
          <w:lang w:val="en-US" w:eastAsia="zh-CN"/>
        </w:rPr>
        <w:t>20,620,334.11</w:t>
      </w:r>
      <w:r>
        <w:rPr>
          <w:rFonts w:hint="eastAsia" w:ascii="仿宋_GB2312" w:hAnsi="仿宋" w:eastAsia="仿宋_GB2312"/>
          <w:sz w:val="32"/>
          <w:szCs w:val="32"/>
        </w:rPr>
        <w:t>元，</w:t>
      </w:r>
      <w:r>
        <w:rPr>
          <w:rFonts w:ascii="宋体" w:hAnsi="宋体" w:eastAsia="宋体" w:cs="宋体"/>
          <w:sz w:val="24"/>
          <w:szCs w:val="24"/>
        </w:rPr>
        <w:t>人员经费</w:t>
      </w:r>
      <w:r>
        <w:rPr>
          <w:rFonts w:ascii="宋体" w:hAnsi="宋体" w:cs="宋体"/>
          <w:sz w:val="24"/>
          <w:szCs w:val="24"/>
        </w:rPr>
        <w:t>：</w:t>
      </w:r>
      <w:r>
        <w:rPr>
          <w:rFonts w:hint="eastAsia" w:ascii="仿宋_GB2312" w:hAnsi="仿宋" w:eastAsia="仿宋_GB2312"/>
          <w:sz w:val="32"/>
          <w:szCs w:val="32"/>
        </w:rPr>
        <w:t>17275040.65</w:t>
      </w:r>
      <w:r>
        <w:rPr>
          <w:rFonts w:hint="eastAsia" w:ascii="仿宋_GB2312" w:hAnsi="仿宋" w:eastAsia="仿宋_GB2312"/>
          <w:sz w:val="32"/>
          <w:szCs w:val="32"/>
        </w:rPr>
        <w:t>，</w:t>
      </w:r>
      <w:r>
        <w:rPr>
          <w:rFonts w:hint="eastAsia" w:ascii="仿宋_GB2312" w:hAnsi="仿宋" w:eastAsia="仿宋_GB2312"/>
          <w:sz w:val="32"/>
          <w:szCs w:val="32"/>
        </w:rPr>
        <w:t>日常公用经费</w:t>
      </w:r>
      <w:r>
        <w:rPr>
          <w:rFonts w:hint="default" w:ascii="仿宋_GB2312" w:hAnsi="仿宋" w:eastAsia="仿宋_GB2312"/>
          <w:sz w:val="32"/>
          <w:szCs w:val="32"/>
        </w:rPr>
        <w:t>：</w:t>
      </w:r>
      <w:r>
        <w:rPr>
          <w:rFonts w:hint="eastAsia" w:ascii="仿宋_GB2312" w:hAnsi="仿宋" w:eastAsia="仿宋_GB2312"/>
          <w:sz w:val="32"/>
          <w:szCs w:val="32"/>
        </w:rPr>
        <w:t>829292.46</w:t>
      </w:r>
      <w:r>
        <w:rPr>
          <w:rFonts w:hint="eastAsia" w:ascii="仿宋_GB2312" w:hAnsi="仿宋" w:eastAsia="仿宋_GB2312"/>
          <w:sz w:val="32"/>
          <w:szCs w:val="32"/>
        </w:rPr>
        <w:t>，</w:t>
      </w:r>
      <w:r>
        <w:rPr>
          <w:rFonts w:hint="eastAsia" w:ascii="仿宋_GB2312" w:hAnsi="仿宋" w:eastAsia="仿宋_GB2312"/>
          <w:sz w:val="32"/>
          <w:szCs w:val="32"/>
        </w:rPr>
        <w:t>项目支出</w:t>
      </w:r>
      <w:r>
        <w:rPr>
          <w:rFonts w:hint="default" w:ascii="仿宋_GB2312" w:hAnsi="仿宋" w:eastAsia="仿宋_GB2312"/>
          <w:sz w:val="32"/>
          <w:szCs w:val="32"/>
        </w:rPr>
        <w:t>：</w:t>
      </w:r>
      <w:r>
        <w:rPr>
          <w:rFonts w:hint="eastAsia" w:ascii="仿宋_GB2312" w:hAnsi="仿宋" w:eastAsia="仿宋_GB2312"/>
          <w:sz w:val="32"/>
          <w:szCs w:val="32"/>
        </w:rPr>
        <w:t>2516001</w:t>
      </w:r>
      <w:r>
        <w:rPr>
          <w:rFonts w:hint="eastAsia" w:ascii="仿宋_GB2312" w:hAnsi="仿宋" w:eastAsia="仿宋_GB2312"/>
          <w:sz w:val="32"/>
          <w:szCs w:val="32"/>
          <w:lang w:eastAsia="zh-CN"/>
        </w:rPr>
        <w:t>。</w:t>
      </w:r>
    </w:p>
    <w:p>
      <w:r>
        <w:drawing>
          <wp:inline distT="0" distB="0" distL="114300" distR="114300">
            <wp:extent cx="4420870" cy="2371090"/>
            <wp:effectExtent l="4445" t="4445" r="13335" b="57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rPr>
          <w:rFonts w:hint="eastAsia"/>
          <w:sz w:val="32"/>
        </w:rPr>
      </w:pPr>
      <w:r>
        <w:rPr>
          <w:rFonts w:hint="eastAsia"/>
          <w:lang w:val="en-US" w:eastAsia="zh-CN"/>
        </w:rPr>
        <w:t xml:space="preserve">     </w:t>
      </w:r>
      <w:r>
        <w:rPr>
          <w:rFonts w:hint="eastAsia"/>
          <w:sz w:val="32"/>
        </w:rPr>
        <w:t>图1</w:t>
      </w:r>
      <w:r>
        <w:rPr>
          <w:rFonts w:hint="eastAsia"/>
          <w:sz w:val="32"/>
          <w:lang w:val="en-US" w:eastAsia="zh-CN"/>
        </w:rPr>
        <w:t xml:space="preserve">    </w:t>
      </w:r>
      <w:r>
        <w:rPr>
          <w:rFonts w:hint="eastAsia"/>
          <w:sz w:val="32"/>
          <w:lang w:eastAsia="zh-CN"/>
        </w:rPr>
        <w:t>2</w:t>
      </w:r>
      <w:r>
        <w:rPr>
          <w:rFonts w:hint="eastAsia"/>
          <w:sz w:val="32"/>
          <w:lang w:val="en-US" w:eastAsia="zh-CN"/>
        </w:rPr>
        <w:t>024</w:t>
      </w:r>
      <w:r>
        <w:rPr>
          <w:rFonts w:hint="eastAsia"/>
          <w:sz w:val="32"/>
        </w:rPr>
        <w:t>年总收入结构图</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（2）收入支出与上年度对比情况及原因分析(可用柱形图或折线图)。</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w:t>
      </w:r>
      <w:r>
        <w:rPr>
          <w:rFonts w:hint="default" w:ascii="仿宋_GB2312" w:hAnsi="仿宋" w:eastAsia="仿宋_GB2312"/>
          <w:sz w:val="32"/>
          <w:szCs w:val="32"/>
          <w:lang w:eastAsia="zh-CN"/>
        </w:rPr>
        <w:t>4</w:t>
      </w:r>
      <w:r>
        <w:rPr>
          <w:rFonts w:hint="eastAsia" w:ascii="仿宋_GB2312" w:hAnsi="仿宋" w:eastAsia="仿宋_GB2312"/>
          <w:sz w:val="32"/>
          <w:szCs w:val="32"/>
        </w:rPr>
        <w:t>年我乡总</w:t>
      </w:r>
      <w:r>
        <w:rPr>
          <w:rFonts w:hint="eastAsia" w:ascii="仿宋_GB2312" w:hAnsi="仿宋" w:eastAsia="仿宋_GB2312"/>
          <w:sz w:val="32"/>
          <w:szCs w:val="32"/>
          <w:lang w:val="en-US" w:eastAsia="zh-CN"/>
        </w:rPr>
        <w:t>支出</w:t>
      </w:r>
      <w:r>
        <w:rPr>
          <w:rFonts w:hint="eastAsia" w:ascii="仿宋_GB2312" w:hAnsi="仿宋" w:eastAsia="仿宋_GB2312"/>
          <w:sz w:val="32"/>
          <w:szCs w:val="32"/>
        </w:rPr>
        <w:t>为</w:t>
      </w:r>
      <w:r>
        <w:rPr>
          <w:rFonts w:hint="eastAsia" w:ascii="仿宋" w:hAnsi="仿宋" w:eastAsia="仿宋" w:cs="仿宋"/>
          <w:sz w:val="32"/>
          <w:szCs w:val="32"/>
          <w:lang w:val="en-US" w:eastAsia="zh-CN"/>
        </w:rPr>
        <w:t>20620334.11</w:t>
      </w:r>
      <w:r>
        <w:rPr>
          <w:rFonts w:hint="eastAsia" w:ascii="仿宋_GB2312" w:hAnsi="仿宋" w:eastAsia="仿宋_GB2312"/>
          <w:sz w:val="32"/>
          <w:szCs w:val="32"/>
        </w:rPr>
        <w:t>元，</w:t>
      </w:r>
      <w:r>
        <w:rPr>
          <w:rFonts w:ascii="宋体" w:hAnsi="宋体" w:eastAsia="宋体" w:cs="宋体"/>
          <w:sz w:val="24"/>
          <w:szCs w:val="24"/>
        </w:rPr>
        <w:t>人员经费</w:t>
      </w:r>
      <w:r>
        <w:rPr>
          <w:rFonts w:ascii="宋体" w:hAnsi="宋体" w:cs="宋体"/>
          <w:sz w:val="24"/>
          <w:szCs w:val="24"/>
        </w:rPr>
        <w:t>：</w:t>
      </w:r>
      <w:r>
        <w:rPr>
          <w:rFonts w:hint="eastAsia" w:ascii="仿宋_GB2312" w:hAnsi="仿宋" w:eastAsia="仿宋_GB2312"/>
          <w:sz w:val="32"/>
          <w:szCs w:val="32"/>
        </w:rPr>
        <w:t>17275040.65元，日常公用经费</w:t>
      </w:r>
      <w:r>
        <w:rPr>
          <w:rFonts w:hint="default" w:ascii="仿宋_GB2312" w:hAnsi="仿宋" w:eastAsia="仿宋_GB2312"/>
          <w:sz w:val="32"/>
          <w:szCs w:val="32"/>
        </w:rPr>
        <w:t>：</w:t>
      </w:r>
      <w:r>
        <w:rPr>
          <w:rFonts w:hint="eastAsia" w:ascii="仿宋_GB2312" w:hAnsi="仿宋" w:eastAsia="仿宋_GB2312"/>
          <w:sz w:val="32"/>
          <w:szCs w:val="32"/>
        </w:rPr>
        <w:t>829292.46元，项目支出</w:t>
      </w:r>
      <w:r>
        <w:rPr>
          <w:rFonts w:hint="default" w:ascii="仿宋_GB2312" w:hAnsi="仿宋" w:eastAsia="仿宋_GB2312"/>
          <w:sz w:val="32"/>
          <w:szCs w:val="32"/>
        </w:rPr>
        <w:t>：</w:t>
      </w:r>
      <w:r>
        <w:rPr>
          <w:rFonts w:hint="eastAsia" w:ascii="仿宋_GB2312" w:hAnsi="仿宋" w:eastAsia="仿宋_GB2312"/>
          <w:sz w:val="32"/>
          <w:szCs w:val="32"/>
        </w:rPr>
        <w:t>2516001元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2023年总支出为</w:t>
      </w:r>
      <w:r>
        <w:rPr>
          <w:rFonts w:hint="eastAsia" w:ascii="仿宋_GB2312" w:hAnsi="仿宋" w:eastAsia="仿宋_GB2312"/>
          <w:sz w:val="32"/>
          <w:szCs w:val="32"/>
        </w:rPr>
        <w:t>1900971730</w:t>
      </w:r>
      <w:r>
        <w:rPr>
          <w:rFonts w:hint="eastAsia" w:ascii="仿宋_GB2312" w:hAnsi="仿宋" w:eastAsia="仿宋_GB2312"/>
          <w:sz w:val="32"/>
          <w:szCs w:val="32"/>
        </w:rPr>
        <w:t>元</w:t>
      </w:r>
      <w:r>
        <w:rPr>
          <w:rFonts w:hint="eastAsia" w:ascii="仿宋_GB2312" w:hAnsi="仿宋" w:eastAsia="仿宋_GB2312"/>
          <w:sz w:val="32"/>
          <w:szCs w:val="32"/>
          <w:lang w:eastAsia="zh-CN"/>
        </w:rPr>
        <w:t>，</w:t>
      </w:r>
      <w:r>
        <w:rPr>
          <w:rFonts w:hint="eastAsia" w:ascii="仿宋_GB2312" w:hAnsi="仿宋" w:eastAsia="仿宋_GB2312"/>
          <w:sz w:val="32"/>
          <w:szCs w:val="32"/>
        </w:rPr>
        <w:t>人员经费：16360573.72</w:t>
      </w:r>
      <w:r>
        <w:rPr>
          <w:rFonts w:hint="eastAsia" w:ascii="仿宋_GB2312" w:hAnsi="仿宋" w:eastAsia="仿宋_GB2312"/>
          <w:sz w:val="32"/>
          <w:szCs w:val="32"/>
          <w:lang w:val="en-US" w:eastAsia="zh-CN"/>
        </w:rPr>
        <w:t>元</w:t>
      </w:r>
      <w:r>
        <w:rPr>
          <w:rFonts w:hint="eastAsia" w:ascii="仿宋_GB2312" w:hAnsi="仿宋" w:eastAsia="仿宋_GB2312"/>
          <w:sz w:val="32"/>
          <w:szCs w:val="32"/>
        </w:rPr>
        <w:t>，日常公用经费</w:t>
      </w:r>
      <w:r>
        <w:rPr>
          <w:rFonts w:hint="default" w:ascii="仿宋_GB2312" w:hAnsi="仿宋" w:eastAsia="仿宋_GB2312"/>
          <w:sz w:val="32"/>
          <w:szCs w:val="32"/>
        </w:rPr>
        <w:t>：</w:t>
      </w:r>
      <w:r>
        <w:rPr>
          <w:rFonts w:hint="eastAsia" w:ascii="仿宋_GB2312" w:hAnsi="仿宋" w:eastAsia="仿宋_GB2312"/>
          <w:sz w:val="32"/>
          <w:szCs w:val="32"/>
        </w:rPr>
        <w:t>386946.01</w:t>
      </w:r>
      <w:r>
        <w:rPr>
          <w:rFonts w:hint="eastAsia" w:ascii="仿宋_GB2312" w:hAnsi="仿宋" w:eastAsia="仿宋_GB2312"/>
          <w:sz w:val="32"/>
          <w:szCs w:val="32"/>
          <w:lang w:val="en-US" w:eastAsia="zh-CN"/>
        </w:rPr>
        <w:t>元</w:t>
      </w:r>
      <w:r>
        <w:rPr>
          <w:rFonts w:hint="eastAsia" w:ascii="仿宋_GB2312" w:hAnsi="仿宋" w:eastAsia="仿宋_GB2312"/>
          <w:sz w:val="32"/>
          <w:szCs w:val="32"/>
        </w:rPr>
        <w:t>，项目支出</w:t>
      </w:r>
      <w:r>
        <w:rPr>
          <w:rFonts w:hint="default" w:ascii="仿宋_GB2312" w:hAnsi="仿宋" w:eastAsia="仿宋_GB2312"/>
          <w:sz w:val="32"/>
          <w:szCs w:val="32"/>
        </w:rPr>
        <w:t>：</w:t>
      </w:r>
      <w:r>
        <w:rPr>
          <w:rFonts w:hint="eastAsia" w:ascii="仿宋_GB2312" w:hAnsi="仿宋" w:eastAsia="仿宋_GB2312"/>
          <w:sz w:val="32"/>
          <w:szCs w:val="32"/>
        </w:rPr>
        <w:t>2262197.57</w:t>
      </w:r>
      <w:r>
        <w:rPr>
          <w:rFonts w:hint="eastAsia" w:ascii="仿宋_GB2312" w:hAnsi="仿宋" w:eastAsia="仿宋_GB2312"/>
          <w:sz w:val="32"/>
          <w:szCs w:val="32"/>
          <w:lang w:val="en-US" w:eastAsia="zh-CN"/>
        </w:rPr>
        <w:t>元</w:t>
      </w:r>
      <w:r>
        <w:rPr>
          <w:rFonts w:hint="eastAsia" w:ascii="仿宋_GB2312" w:hAnsi="仿宋" w:eastAsia="仿宋_GB2312"/>
          <w:sz w:val="32"/>
          <w:szCs w:val="32"/>
          <w:lang w:eastAsia="zh-CN"/>
        </w:rPr>
        <w:t>。</w:t>
      </w:r>
    </w:p>
    <w:p>
      <w:pPr>
        <w:rPr>
          <w:rFonts w:hint="eastAsia" w:ascii="仿宋_GB2312" w:hAnsi="仿宋" w:eastAsia="仿宋_GB2312"/>
          <w:sz w:val="32"/>
          <w:szCs w:val="32"/>
        </w:rPr>
      </w:pPr>
      <w:r>
        <w:drawing>
          <wp:inline distT="0" distB="0" distL="114300" distR="114300">
            <wp:extent cx="4572000" cy="2743200"/>
            <wp:effectExtent l="4445" t="4445" r="14605" b="1460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napToGrid w:val="0"/>
        <w:spacing w:line="520" w:lineRule="exact"/>
        <w:ind w:firstLine="1920" w:firstLineChars="600"/>
        <w:rPr>
          <w:rFonts w:hint="eastAsia" w:ascii="仿宋_GB2312" w:hAnsi="仿宋" w:eastAsia="仿宋_GB2312"/>
          <w:sz w:val="32"/>
          <w:szCs w:val="32"/>
        </w:rPr>
      </w:pPr>
      <w:r>
        <w:rPr>
          <w:rFonts w:hint="eastAsia" w:ascii="仿宋_GB2312" w:hAnsi="仿宋" w:eastAsia="仿宋_GB2312"/>
          <w:sz w:val="32"/>
          <w:szCs w:val="32"/>
        </w:rPr>
        <w:t xml:space="preserve">  图2 支出</w:t>
      </w:r>
      <w:r>
        <w:rPr>
          <w:rFonts w:hint="eastAsia" w:ascii="仿宋_GB2312" w:hAnsi="仿宋" w:eastAsia="仿宋_GB2312"/>
          <w:sz w:val="32"/>
          <w:szCs w:val="32"/>
          <w:lang w:val="en-US" w:eastAsia="zh-CN"/>
        </w:rPr>
        <w:t>数对比图</w:t>
      </w:r>
    </w:p>
    <w:p>
      <w:pPr>
        <w:snapToGrid w:val="0"/>
        <w:spacing w:line="520" w:lineRule="exact"/>
        <w:ind w:firstLine="643" w:firstLineChars="200"/>
        <w:rPr>
          <w:rFonts w:hint="eastAsia" w:ascii="仿宋_GB2312" w:hAnsi="仿宋" w:eastAsia="仿宋_GB2312"/>
          <w:b/>
          <w:sz w:val="32"/>
          <w:szCs w:val="32"/>
        </w:rPr>
      </w:pPr>
      <w:r>
        <w:rPr>
          <w:rFonts w:hint="eastAsia" w:ascii="仿宋_GB2312" w:hAnsi="仿宋" w:eastAsia="仿宋_GB2312"/>
          <w:b/>
          <w:sz w:val="32"/>
          <w:szCs w:val="32"/>
        </w:rPr>
        <w:t>3．支出按经济分类科目分析。</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w:t>
      </w:r>
      <w:r>
        <w:rPr>
          <w:rFonts w:hint="eastAsia" w:ascii="仿宋_GB2312" w:hAnsi="仿宋" w:eastAsia="仿宋_GB2312"/>
          <w:b/>
          <w:sz w:val="32"/>
          <w:szCs w:val="32"/>
        </w:rPr>
        <w:t>“</w:t>
      </w:r>
      <w:r>
        <w:rPr>
          <w:rFonts w:hint="eastAsia" w:ascii="仿宋_GB2312" w:hAnsi="仿宋" w:eastAsia="仿宋_GB2312"/>
          <w:sz w:val="32"/>
          <w:szCs w:val="32"/>
        </w:rPr>
        <w:t>三公</w:t>
      </w:r>
      <w:r>
        <w:rPr>
          <w:rFonts w:hint="eastAsia" w:ascii="仿宋_GB2312" w:hAnsi="仿宋" w:eastAsia="仿宋_GB2312"/>
          <w:b/>
          <w:sz w:val="32"/>
          <w:szCs w:val="32"/>
        </w:rPr>
        <w:t>”</w:t>
      </w:r>
      <w:r>
        <w:rPr>
          <w:rFonts w:hint="eastAsia" w:ascii="仿宋_GB2312" w:hAnsi="仿宋" w:eastAsia="仿宋_GB2312"/>
          <w:sz w:val="32"/>
          <w:szCs w:val="32"/>
        </w:rPr>
        <w:t>经费支出情况：</w:t>
      </w:r>
    </w:p>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表5       “三公”经费支出与上年度对比分析</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                                       单位：元</w:t>
      </w:r>
    </w:p>
    <w:tbl>
      <w:tblPr>
        <w:tblStyle w:val="6"/>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740"/>
        <w:gridCol w:w="1695"/>
        <w:gridCol w:w="1380"/>
        <w:gridCol w:w="1005"/>
        <w:gridCol w:w="1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365"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指标</w:t>
            </w:r>
          </w:p>
        </w:tc>
        <w:tc>
          <w:tcPr>
            <w:tcW w:w="1740"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28"/>
                <w:szCs w:val="28"/>
              </w:rPr>
              <w:t>本年度</w:t>
            </w:r>
          </w:p>
        </w:tc>
        <w:tc>
          <w:tcPr>
            <w:tcW w:w="1695"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28"/>
                <w:szCs w:val="28"/>
              </w:rPr>
              <w:t>上年度</w:t>
            </w:r>
          </w:p>
        </w:tc>
        <w:tc>
          <w:tcPr>
            <w:tcW w:w="1380"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24"/>
              </w:rPr>
              <w:t>比上年增减</w:t>
            </w:r>
          </w:p>
        </w:tc>
        <w:tc>
          <w:tcPr>
            <w:tcW w:w="1005"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增减</w:t>
            </w:r>
            <w:r>
              <w:rPr>
                <w:rFonts w:hint="eastAsia" w:ascii="仿宋_GB2312" w:hAnsi="仿宋" w:eastAsia="仿宋_GB2312"/>
                <w:sz w:val="32"/>
                <w:szCs w:val="32"/>
                <w:lang w:val="en-US" w:eastAsia="zh-CN"/>
              </w:rPr>
              <w:t>%</w:t>
            </w:r>
          </w:p>
        </w:tc>
        <w:tc>
          <w:tcPr>
            <w:tcW w:w="1463" w:type="dxa"/>
            <w:noWrap w:val="0"/>
            <w:vAlign w:val="top"/>
          </w:tcPr>
          <w:p>
            <w:pPr>
              <w:snapToGrid w:val="0"/>
              <w:spacing w:line="520" w:lineRule="exact"/>
              <w:jc w:val="center"/>
              <w:rPr>
                <w:rFonts w:hint="eastAsia" w:ascii="仿宋_GB2312" w:hAnsi="仿宋" w:eastAsia="仿宋_GB2312"/>
                <w:sz w:val="32"/>
                <w:szCs w:val="32"/>
              </w:rPr>
            </w:pPr>
            <w:r>
              <w:rPr>
                <w:rFonts w:hint="eastAsia" w:ascii="仿宋_GB2312" w:hAnsi="仿宋" w:eastAsia="仿宋_GB2312"/>
                <w:sz w:val="32"/>
                <w:szCs w:val="32"/>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65" w:type="dxa"/>
            <w:noWrap w:val="0"/>
            <w:vAlign w:val="top"/>
          </w:tcPr>
          <w:p>
            <w:pPr>
              <w:snapToGrid w:val="0"/>
              <w:spacing w:line="520" w:lineRule="exact"/>
              <w:jc w:val="both"/>
              <w:rPr>
                <w:rFonts w:hint="eastAsia" w:ascii="宋体" w:hAnsi="宋体" w:eastAsia="宋体" w:cs="宋体"/>
                <w:sz w:val="18"/>
                <w:szCs w:val="18"/>
              </w:rPr>
            </w:pPr>
            <w:r>
              <w:rPr>
                <w:rFonts w:ascii="宋体" w:hAnsi="宋体" w:eastAsia="宋体" w:cs="宋体"/>
                <w:sz w:val="18"/>
                <w:szCs w:val="18"/>
              </w:rPr>
              <w:t>公务用车运行维护费</w:t>
            </w:r>
          </w:p>
        </w:tc>
        <w:tc>
          <w:tcPr>
            <w:tcW w:w="1740" w:type="dxa"/>
            <w:noWrap w:val="0"/>
            <w:vAlign w:val="center"/>
          </w:tcPr>
          <w:p>
            <w:pPr>
              <w:snapToGrid w:val="0"/>
              <w:spacing w:line="520" w:lineRule="exact"/>
              <w:ind w:firstLine="240" w:firstLineChars="100"/>
              <w:jc w:val="center"/>
              <w:rPr>
                <w:rFonts w:hint="default" w:ascii="宋体" w:hAnsi="宋体" w:eastAsia="宋体" w:cs="宋体"/>
                <w:sz w:val="18"/>
                <w:szCs w:val="18"/>
                <w:lang w:val="en-US" w:eastAsia="zh-CN"/>
              </w:rPr>
            </w:pPr>
            <w:r>
              <w:rPr>
                <w:rFonts w:ascii="宋体" w:hAnsi="宋体" w:eastAsia="宋体" w:cs="宋体"/>
                <w:sz w:val="24"/>
                <w:szCs w:val="24"/>
              </w:rPr>
              <w:t>139,252.32</w:t>
            </w:r>
          </w:p>
        </w:tc>
        <w:tc>
          <w:tcPr>
            <w:tcW w:w="1695" w:type="dxa"/>
            <w:noWrap w:val="0"/>
            <w:vAlign w:val="center"/>
          </w:tcPr>
          <w:p>
            <w:pPr>
              <w:snapToGrid w:val="0"/>
              <w:spacing w:line="520" w:lineRule="exact"/>
              <w:ind w:firstLine="240" w:firstLineChars="100"/>
              <w:jc w:val="center"/>
              <w:rPr>
                <w:rFonts w:hint="eastAsia" w:ascii="宋体" w:hAnsi="宋体" w:eastAsia="宋体" w:cs="宋体"/>
                <w:sz w:val="18"/>
                <w:szCs w:val="18"/>
                <w:lang w:val="en-US" w:eastAsia="zh-CN"/>
              </w:rPr>
            </w:pPr>
            <w:r>
              <w:rPr>
                <w:rFonts w:hint="eastAsia" w:ascii="宋体" w:hAnsi="宋体" w:eastAsia="宋体" w:cs="宋体"/>
                <w:sz w:val="24"/>
                <w:szCs w:val="24"/>
                <w:lang w:val="en-US" w:eastAsia="zh-CN"/>
              </w:rPr>
              <w:t>119154.01</w:t>
            </w:r>
          </w:p>
        </w:tc>
        <w:tc>
          <w:tcPr>
            <w:tcW w:w="1380" w:type="dxa"/>
            <w:noWrap w:val="0"/>
            <w:vAlign w:val="center"/>
          </w:tcPr>
          <w:p>
            <w:pPr>
              <w:snapToGrid w:val="0"/>
              <w:spacing w:line="52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20098.31</w:t>
            </w:r>
          </w:p>
        </w:tc>
        <w:tc>
          <w:tcPr>
            <w:tcW w:w="1005" w:type="dxa"/>
            <w:noWrap w:val="0"/>
            <w:vAlign w:val="center"/>
          </w:tcPr>
          <w:p>
            <w:pPr>
              <w:snapToGrid w:val="0"/>
              <w:spacing w:line="520" w:lineRule="exact"/>
              <w:jc w:val="both"/>
              <w:rPr>
                <w:rFonts w:hint="default" w:ascii="宋体" w:hAnsi="宋体" w:eastAsia="宋体" w:cs="宋体"/>
                <w:sz w:val="18"/>
                <w:szCs w:val="18"/>
                <w:lang w:val="en-US" w:eastAsia="zh-CN"/>
              </w:rPr>
            </w:pPr>
            <w:r>
              <w:rPr>
                <w:rFonts w:hint="eastAsia" w:ascii="宋体" w:hAnsi="宋体" w:eastAsia="宋体" w:cs="宋体"/>
                <w:sz w:val="24"/>
                <w:szCs w:val="24"/>
                <w:lang w:val="en-US" w:eastAsia="zh-CN"/>
              </w:rPr>
              <w:t>16.86%</w:t>
            </w:r>
          </w:p>
        </w:tc>
        <w:tc>
          <w:tcPr>
            <w:tcW w:w="1463" w:type="dxa"/>
            <w:noWrap w:val="0"/>
            <w:vAlign w:val="center"/>
          </w:tcPr>
          <w:p>
            <w:pPr>
              <w:snapToGrid w:val="0"/>
              <w:spacing w:line="520" w:lineRule="exact"/>
              <w:jc w:val="both"/>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出勤增多，年初拨款减少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65" w:type="dxa"/>
            <w:noWrap w:val="0"/>
            <w:vAlign w:val="top"/>
          </w:tcPr>
          <w:p>
            <w:pPr>
              <w:numPr>
                <w:ilvl w:val="0"/>
                <w:numId w:val="0"/>
              </w:numPr>
              <w:snapToGrid w:val="0"/>
              <w:spacing w:line="520" w:lineRule="exact"/>
              <w:ind w:leftChars="0"/>
              <w:jc w:val="center"/>
              <w:rPr>
                <w:rFonts w:hint="eastAsia" w:ascii="仿宋_GB2312" w:hAnsi="仿宋" w:eastAsia="仿宋_GB2312"/>
                <w:sz w:val="32"/>
                <w:szCs w:val="32"/>
              </w:rPr>
            </w:pPr>
            <w:r>
              <w:rPr>
                <w:rFonts w:hint="eastAsia" w:ascii="仿宋_GB2312" w:hAnsi="仿宋" w:eastAsia="仿宋_GB2312"/>
                <w:sz w:val="32"/>
                <w:szCs w:val="32"/>
              </w:rPr>
              <w:t>合计</w:t>
            </w:r>
          </w:p>
        </w:tc>
        <w:tc>
          <w:tcPr>
            <w:tcW w:w="1740" w:type="dxa"/>
            <w:noWrap w:val="0"/>
            <w:vAlign w:val="center"/>
          </w:tcPr>
          <w:p>
            <w:pPr>
              <w:snapToGrid w:val="0"/>
              <w:spacing w:line="520" w:lineRule="exact"/>
              <w:ind w:firstLine="240" w:firstLineChars="100"/>
              <w:jc w:val="center"/>
              <w:rPr>
                <w:rFonts w:hint="eastAsia" w:ascii="宋体" w:hAnsi="宋体" w:eastAsia="宋体" w:cs="宋体"/>
                <w:kern w:val="2"/>
                <w:sz w:val="18"/>
                <w:szCs w:val="18"/>
                <w:lang w:val="en-US" w:eastAsia="zh-CN" w:bidi="ar-SA"/>
              </w:rPr>
            </w:pPr>
            <w:r>
              <w:rPr>
                <w:rFonts w:ascii="宋体" w:hAnsi="宋体" w:eastAsia="宋体" w:cs="宋体"/>
                <w:sz w:val="24"/>
                <w:szCs w:val="24"/>
              </w:rPr>
              <w:t>139,252.32</w:t>
            </w:r>
          </w:p>
        </w:tc>
        <w:tc>
          <w:tcPr>
            <w:tcW w:w="1695" w:type="dxa"/>
            <w:noWrap w:val="0"/>
            <w:vAlign w:val="center"/>
          </w:tcPr>
          <w:p>
            <w:pPr>
              <w:snapToGrid w:val="0"/>
              <w:spacing w:line="520" w:lineRule="exact"/>
              <w:ind w:firstLine="240" w:firstLineChars="100"/>
              <w:jc w:val="center"/>
              <w:rPr>
                <w:rFonts w:hint="eastAsia" w:ascii="宋体" w:hAnsi="宋体" w:eastAsia="宋体" w:cs="宋体"/>
                <w:kern w:val="2"/>
                <w:sz w:val="18"/>
                <w:szCs w:val="18"/>
                <w:lang w:val="en-US" w:eastAsia="zh-CN" w:bidi="ar-SA"/>
              </w:rPr>
            </w:pPr>
            <w:r>
              <w:rPr>
                <w:rFonts w:hint="eastAsia" w:ascii="宋体" w:hAnsi="宋体" w:eastAsia="宋体" w:cs="宋体"/>
                <w:sz w:val="24"/>
                <w:szCs w:val="24"/>
                <w:lang w:val="en-US" w:eastAsia="zh-CN"/>
              </w:rPr>
              <w:t>119154.01</w:t>
            </w:r>
          </w:p>
        </w:tc>
        <w:tc>
          <w:tcPr>
            <w:tcW w:w="1380" w:type="dxa"/>
            <w:noWrap w:val="0"/>
            <w:vAlign w:val="center"/>
          </w:tcPr>
          <w:p>
            <w:pPr>
              <w:snapToGrid w:val="0"/>
              <w:spacing w:line="520" w:lineRule="exact"/>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20098.31</w:t>
            </w:r>
          </w:p>
        </w:tc>
        <w:tc>
          <w:tcPr>
            <w:tcW w:w="1005" w:type="dxa"/>
            <w:noWrap w:val="0"/>
            <w:vAlign w:val="center"/>
          </w:tcPr>
          <w:p>
            <w:pPr>
              <w:snapToGrid w:val="0"/>
              <w:spacing w:line="520" w:lineRule="exact"/>
              <w:jc w:val="both"/>
              <w:rPr>
                <w:rFonts w:hint="eastAsia" w:ascii="宋体" w:hAnsi="宋体" w:eastAsia="宋体" w:cs="宋体"/>
                <w:kern w:val="2"/>
                <w:sz w:val="18"/>
                <w:szCs w:val="18"/>
                <w:lang w:val="en-US" w:eastAsia="zh-CN" w:bidi="ar-SA"/>
              </w:rPr>
            </w:pPr>
            <w:r>
              <w:rPr>
                <w:rFonts w:hint="eastAsia" w:ascii="宋体" w:hAnsi="宋体" w:eastAsia="宋体" w:cs="宋体"/>
                <w:sz w:val="24"/>
                <w:szCs w:val="24"/>
                <w:lang w:val="en-US" w:eastAsia="zh-CN"/>
              </w:rPr>
              <w:t>16.86%</w:t>
            </w:r>
          </w:p>
        </w:tc>
        <w:tc>
          <w:tcPr>
            <w:tcW w:w="1463" w:type="dxa"/>
            <w:noWrap w:val="0"/>
            <w:vAlign w:val="center"/>
          </w:tcPr>
          <w:p>
            <w:pPr>
              <w:snapToGrid w:val="0"/>
              <w:spacing w:line="52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出勤增多，年初拨款减少</w:t>
            </w:r>
          </w:p>
        </w:tc>
      </w:tr>
    </w:tbl>
    <w:p>
      <w:pPr>
        <w:snapToGrid w:val="0"/>
        <w:rPr>
          <w:rFonts w:hint="eastAsia" w:ascii="仿宋_GB2312" w:hAnsi="仿宋" w:eastAsia="仿宋_GB2312"/>
          <w:sz w:val="32"/>
          <w:szCs w:val="32"/>
        </w:rPr>
      </w:pP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                                       单位：元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4"/>
        <w:gridCol w:w="2025"/>
        <w:gridCol w:w="1530"/>
        <w:gridCol w:w="1509"/>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2274" w:type="dxa"/>
            <w:noWrap w:val="0"/>
            <w:vAlign w:val="top"/>
          </w:tcPr>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指标</w:t>
            </w:r>
          </w:p>
        </w:tc>
        <w:tc>
          <w:tcPr>
            <w:tcW w:w="2025" w:type="dxa"/>
            <w:noWrap w:val="0"/>
            <w:vAlign w:val="top"/>
          </w:tcPr>
          <w:p>
            <w:pPr>
              <w:snapToGrid w:val="0"/>
              <w:spacing w:line="520" w:lineRule="exact"/>
              <w:rPr>
                <w:rFonts w:hint="eastAsia" w:ascii="仿宋_GB2312" w:hAnsi="仿宋" w:eastAsia="仿宋_GB2312"/>
                <w:sz w:val="28"/>
                <w:szCs w:val="28"/>
              </w:rPr>
            </w:pPr>
            <w:r>
              <w:rPr>
                <w:rFonts w:hint="eastAsia" w:ascii="仿宋_GB2312" w:hAnsi="仿宋" w:eastAsia="仿宋_GB2312"/>
                <w:sz w:val="28"/>
                <w:szCs w:val="28"/>
              </w:rPr>
              <w:t>年初预算数</w:t>
            </w:r>
          </w:p>
        </w:tc>
        <w:tc>
          <w:tcPr>
            <w:tcW w:w="1530" w:type="dxa"/>
            <w:noWrap w:val="0"/>
            <w:vAlign w:val="top"/>
          </w:tcPr>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决算数</w:t>
            </w:r>
          </w:p>
        </w:tc>
        <w:tc>
          <w:tcPr>
            <w:tcW w:w="1509" w:type="dxa"/>
            <w:noWrap w:val="0"/>
            <w:vAlign w:val="top"/>
          </w:tcPr>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增减额</w:t>
            </w:r>
          </w:p>
        </w:tc>
        <w:tc>
          <w:tcPr>
            <w:tcW w:w="1184" w:type="dxa"/>
            <w:noWrap w:val="0"/>
            <w:vAlign w:val="top"/>
          </w:tcPr>
          <w:p>
            <w:pPr>
              <w:snapToGrid w:val="0"/>
              <w:spacing w:line="520" w:lineRule="exact"/>
              <w:rPr>
                <w:rFonts w:hint="eastAsia" w:ascii="仿宋_GB2312" w:hAnsi="仿宋" w:eastAsia="仿宋_GB2312"/>
                <w:sz w:val="32"/>
                <w:szCs w:val="32"/>
              </w:rPr>
            </w:pPr>
            <w:r>
              <w:rPr>
                <w:rFonts w:hint="eastAsia" w:ascii="仿宋_GB2312" w:hAnsi="仿宋" w:eastAsia="仿宋_GB2312"/>
                <w:sz w:val="32"/>
                <w:szCs w:val="32"/>
              </w:rPr>
              <w:t>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2274" w:type="dxa"/>
            <w:noWrap w:val="0"/>
            <w:vAlign w:val="top"/>
          </w:tcPr>
          <w:p>
            <w:pPr>
              <w:snapToGrid w:val="0"/>
              <w:spacing w:line="520" w:lineRule="exact"/>
              <w:rPr>
                <w:rFonts w:hint="eastAsia" w:ascii="宋体" w:hAnsi="宋体" w:eastAsia="宋体" w:cs="宋体"/>
                <w:sz w:val="21"/>
                <w:szCs w:val="21"/>
              </w:rPr>
            </w:pPr>
            <w:r>
              <w:rPr>
                <w:rFonts w:hint="eastAsia" w:ascii="宋体" w:hAnsi="宋体" w:eastAsia="宋体" w:cs="宋体"/>
                <w:sz w:val="21"/>
                <w:szCs w:val="21"/>
              </w:rPr>
              <w:t>公务用车运行维护费</w:t>
            </w:r>
          </w:p>
        </w:tc>
        <w:tc>
          <w:tcPr>
            <w:tcW w:w="2025" w:type="dxa"/>
            <w:noWrap w:val="0"/>
            <w:vAlign w:val="center"/>
          </w:tcPr>
          <w:p>
            <w:pPr>
              <w:widowControl/>
              <w:jc w:val="center"/>
              <w:textAlignment w:val="center"/>
              <w:rPr>
                <w:rFonts w:hint="default"/>
                <w:lang w:val="en-US" w:eastAsia="zh-CN"/>
              </w:rPr>
            </w:pPr>
            <w:r>
              <w:rPr>
                <w:rFonts w:hint="eastAsia"/>
                <w:lang w:val="en-US" w:eastAsia="zh-CN"/>
              </w:rPr>
              <w:t>123952</w:t>
            </w:r>
          </w:p>
        </w:tc>
        <w:tc>
          <w:tcPr>
            <w:tcW w:w="1530" w:type="dxa"/>
            <w:noWrap w:val="0"/>
            <w:vAlign w:val="center"/>
          </w:tcPr>
          <w:p>
            <w:pPr>
              <w:widowControl/>
              <w:jc w:val="center"/>
              <w:textAlignment w:val="center"/>
              <w:rPr>
                <w:rFonts w:hint="eastAsia" w:ascii="宋体" w:hAnsi="宋体" w:eastAsia="宋体" w:cs="宋体"/>
                <w:sz w:val="21"/>
                <w:szCs w:val="21"/>
                <w:lang w:val="en-US" w:eastAsia="zh-CN"/>
              </w:rPr>
            </w:pPr>
            <w:r>
              <w:rPr>
                <w:rFonts w:ascii="宋体" w:hAnsi="宋体" w:eastAsia="宋体" w:cs="宋体"/>
                <w:sz w:val="24"/>
                <w:szCs w:val="24"/>
              </w:rPr>
              <w:t>139252.32</w:t>
            </w:r>
          </w:p>
        </w:tc>
        <w:tc>
          <w:tcPr>
            <w:tcW w:w="1509" w:type="dxa"/>
            <w:noWrap w:val="0"/>
            <w:vAlign w:val="top"/>
          </w:tcPr>
          <w:p>
            <w:pPr>
              <w:widowControl/>
              <w:jc w:val="center"/>
              <w:textAlignment w:val="center"/>
              <w:rPr>
                <w:rFonts w:hint="eastAsia" w:ascii="宋体" w:hAnsi="宋体" w:eastAsia="宋体" w:cs="宋体"/>
                <w:sz w:val="21"/>
                <w:szCs w:val="21"/>
                <w:lang w:val="en-US" w:eastAsia="zh-CN"/>
              </w:rPr>
            </w:pPr>
          </w:p>
          <w:p>
            <w:pPr>
              <w:widowControl/>
              <w:jc w:val="center"/>
              <w:textAlignment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15300.32</w:t>
            </w:r>
          </w:p>
        </w:tc>
        <w:tc>
          <w:tcPr>
            <w:tcW w:w="1184" w:type="dxa"/>
            <w:noWrap w:val="0"/>
            <w:vAlign w:val="top"/>
          </w:tcPr>
          <w:p>
            <w:pPr>
              <w:widowControl/>
              <w:jc w:val="center"/>
              <w:textAlignment w:val="center"/>
              <w:rPr>
                <w:rFonts w:hint="eastAsia" w:ascii="宋体" w:hAnsi="宋体" w:eastAsia="宋体" w:cs="宋体"/>
                <w:sz w:val="21"/>
                <w:szCs w:val="21"/>
                <w:lang w:val="en-US" w:eastAsia="zh-CN"/>
              </w:rPr>
            </w:pPr>
          </w:p>
          <w:p>
            <w:pPr>
              <w:widowControl/>
              <w:jc w:val="center"/>
              <w:textAlignment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74" w:type="dxa"/>
            <w:noWrap w:val="0"/>
            <w:vAlign w:val="top"/>
          </w:tcPr>
          <w:p>
            <w:pPr>
              <w:snapToGrid w:val="0"/>
              <w:spacing w:line="520" w:lineRule="exact"/>
              <w:rPr>
                <w:rFonts w:hint="eastAsia" w:ascii="宋体" w:hAnsi="宋体" w:eastAsia="宋体" w:cs="宋体"/>
                <w:sz w:val="21"/>
                <w:szCs w:val="21"/>
              </w:rPr>
            </w:pPr>
            <w:r>
              <w:rPr>
                <w:rFonts w:hint="eastAsia" w:ascii="宋体" w:hAnsi="宋体" w:eastAsia="宋体" w:cs="宋体"/>
                <w:sz w:val="21"/>
                <w:szCs w:val="21"/>
              </w:rPr>
              <w:t>合计</w:t>
            </w:r>
          </w:p>
        </w:tc>
        <w:tc>
          <w:tcPr>
            <w:tcW w:w="2025" w:type="dxa"/>
            <w:noWrap w:val="0"/>
            <w:vAlign w:val="center"/>
          </w:tcPr>
          <w:p>
            <w:pPr>
              <w:widowControl/>
              <w:jc w:val="center"/>
              <w:textAlignment w:val="center"/>
              <w:rPr>
                <w:rFonts w:hint="eastAsia" w:ascii="Times New Roman" w:hAnsi="Times New Roman" w:eastAsia="宋体" w:cs="Times New Roman"/>
                <w:kern w:val="2"/>
                <w:sz w:val="21"/>
                <w:szCs w:val="24"/>
                <w:lang w:val="en-US" w:eastAsia="zh-CN" w:bidi="ar-SA"/>
              </w:rPr>
            </w:pPr>
            <w:r>
              <w:rPr>
                <w:rFonts w:hint="eastAsia"/>
                <w:lang w:val="en-US" w:eastAsia="zh-CN"/>
              </w:rPr>
              <w:t>123952</w:t>
            </w:r>
          </w:p>
        </w:tc>
        <w:tc>
          <w:tcPr>
            <w:tcW w:w="1530" w:type="dxa"/>
            <w:noWrap w:val="0"/>
            <w:vAlign w:val="center"/>
          </w:tcPr>
          <w:p>
            <w:pPr>
              <w:widowControl/>
              <w:jc w:val="center"/>
              <w:textAlignment w:val="center"/>
              <w:rPr>
                <w:rFonts w:hint="eastAsia" w:ascii="宋体" w:hAnsi="宋体" w:eastAsia="宋体" w:cs="宋体"/>
                <w:kern w:val="2"/>
                <w:sz w:val="21"/>
                <w:szCs w:val="21"/>
                <w:lang w:val="en-US" w:eastAsia="zh-CN" w:bidi="ar-SA"/>
              </w:rPr>
            </w:pPr>
            <w:r>
              <w:rPr>
                <w:rFonts w:ascii="宋体" w:hAnsi="宋体" w:eastAsia="宋体" w:cs="宋体"/>
                <w:sz w:val="24"/>
                <w:szCs w:val="24"/>
              </w:rPr>
              <w:t>139252.32</w:t>
            </w:r>
          </w:p>
        </w:tc>
        <w:tc>
          <w:tcPr>
            <w:tcW w:w="1509" w:type="dxa"/>
            <w:noWrap w:val="0"/>
            <w:vAlign w:val="top"/>
          </w:tcPr>
          <w:p>
            <w:pPr>
              <w:widowControl/>
              <w:jc w:val="center"/>
              <w:textAlignment w:val="center"/>
              <w:rPr>
                <w:rFonts w:hint="eastAsia" w:ascii="宋体" w:hAnsi="宋体" w:eastAsia="宋体" w:cs="宋体"/>
                <w:sz w:val="21"/>
                <w:szCs w:val="21"/>
                <w:lang w:val="en-US" w:eastAsia="zh-CN"/>
              </w:rPr>
            </w:pPr>
          </w:p>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15300.32</w:t>
            </w:r>
          </w:p>
        </w:tc>
        <w:tc>
          <w:tcPr>
            <w:tcW w:w="1184" w:type="dxa"/>
            <w:noWrap w:val="0"/>
            <w:vAlign w:val="top"/>
          </w:tcPr>
          <w:p>
            <w:pPr>
              <w:widowControl/>
              <w:jc w:val="center"/>
              <w:textAlignment w:val="center"/>
              <w:rPr>
                <w:rFonts w:hint="eastAsia" w:ascii="宋体" w:hAnsi="宋体" w:eastAsia="宋体" w:cs="宋体"/>
                <w:sz w:val="21"/>
                <w:szCs w:val="21"/>
                <w:lang w:val="en-US" w:eastAsia="zh-CN"/>
              </w:rPr>
            </w:pPr>
          </w:p>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12.34%</w:t>
            </w:r>
          </w:p>
        </w:tc>
      </w:tr>
    </w:tbl>
    <w:p>
      <w:pPr>
        <w:snapToGrid w:val="0"/>
        <w:spacing w:line="520" w:lineRule="exact"/>
        <w:ind w:firstLine="643" w:firstLineChars="200"/>
        <w:rPr>
          <w:rFonts w:hint="eastAsia" w:ascii="仿宋_GB2312" w:hAnsi="仿宋" w:eastAsia="仿宋_GB2312"/>
          <w:b/>
          <w:sz w:val="32"/>
          <w:szCs w:val="32"/>
          <w:highlight w:val="none"/>
        </w:rPr>
      </w:pPr>
      <w:r>
        <w:rPr>
          <w:rFonts w:hint="eastAsia" w:ascii="仿宋_GB2312" w:hAnsi="仿宋" w:eastAsia="仿宋_GB2312"/>
          <w:b/>
          <w:sz w:val="32"/>
          <w:szCs w:val="32"/>
          <w:highlight w:val="none"/>
          <w:lang w:val="en-US" w:eastAsia="zh-CN"/>
        </w:rPr>
        <w:t>4.</w:t>
      </w:r>
      <w:r>
        <w:rPr>
          <w:rFonts w:hint="eastAsia" w:ascii="仿宋_GB2312" w:hAnsi="仿宋" w:eastAsia="仿宋_GB2312"/>
          <w:b/>
          <w:sz w:val="32"/>
          <w:szCs w:val="32"/>
          <w:highlight w:val="none"/>
        </w:rPr>
        <w:t>财政拨款收入、支出分析。</w:t>
      </w:r>
    </w:p>
    <w:p>
      <w:pPr>
        <w:snapToGrid w:val="0"/>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bCs/>
          <w:color w:val="000000"/>
          <w:sz w:val="32"/>
          <w:szCs w:val="32"/>
        </w:rPr>
        <w:t xml:space="preserve"> </w:t>
      </w:r>
      <w:r>
        <w:rPr>
          <w:rFonts w:hint="eastAsia" w:ascii="仿宋_GB2312" w:hAnsi="仿宋" w:eastAsia="仿宋_GB2312"/>
          <w:bCs/>
          <w:color w:val="000000"/>
          <w:sz w:val="32"/>
          <w:szCs w:val="32"/>
          <w:lang w:eastAsia="zh-CN"/>
        </w:rPr>
        <w:t>20</w:t>
      </w:r>
      <w:r>
        <w:rPr>
          <w:rFonts w:hint="eastAsia" w:ascii="仿宋_GB2312" w:hAnsi="仿宋" w:eastAsia="仿宋_GB2312"/>
          <w:bCs/>
          <w:color w:val="000000"/>
          <w:sz w:val="32"/>
          <w:szCs w:val="32"/>
          <w:lang w:val="en-US" w:eastAsia="zh-CN"/>
        </w:rPr>
        <w:t>24</w:t>
      </w:r>
      <w:r>
        <w:rPr>
          <w:rFonts w:hint="eastAsia" w:ascii="仿宋_GB2312" w:hAnsi="仿宋" w:eastAsia="仿宋_GB2312"/>
          <w:bCs/>
          <w:color w:val="000000"/>
          <w:sz w:val="32"/>
          <w:szCs w:val="32"/>
        </w:rPr>
        <w:t>年我乡财政拨款收入为</w:t>
      </w:r>
      <w:r>
        <w:rPr>
          <w:rFonts w:hint="eastAsia" w:ascii="仿宋" w:hAnsi="仿宋" w:eastAsia="仿宋" w:cs="仿宋"/>
          <w:sz w:val="32"/>
          <w:szCs w:val="32"/>
          <w:lang w:val="en-US" w:eastAsia="zh-CN"/>
        </w:rPr>
        <w:t>20620334.11</w:t>
      </w:r>
      <w:r>
        <w:rPr>
          <w:rFonts w:hint="eastAsia" w:ascii="仿宋_GB2312" w:hAnsi="仿宋" w:eastAsia="仿宋_GB2312"/>
          <w:color w:val="000000"/>
          <w:sz w:val="32"/>
          <w:szCs w:val="32"/>
        </w:rPr>
        <w:t>元、支出为</w:t>
      </w:r>
      <w:r>
        <w:rPr>
          <w:rFonts w:hint="eastAsia" w:ascii="仿宋" w:hAnsi="仿宋" w:eastAsia="仿宋" w:cs="仿宋"/>
          <w:sz w:val="32"/>
          <w:szCs w:val="32"/>
          <w:lang w:val="en-US" w:eastAsia="zh-CN"/>
        </w:rPr>
        <w:t>20620334.11</w:t>
      </w:r>
      <w:r>
        <w:rPr>
          <w:rFonts w:hint="eastAsia" w:ascii="仿宋_GB2312" w:hAnsi="仿宋" w:eastAsia="仿宋_GB2312"/>
          <w:color w:val="000000"/>
          <w:sz w:val="32"/>
          <w:szCs w:val="32"/>
        </w:rPr>
        <w:t>元。</w:t>
      </w:r>
    </w:p>
    <w:p>
      <w:pPr>
        <w:snapToGrid w:val="0"/>
        <w:spacing w:line="520" w:lineRule="exact"/>
        <w:ind w:firstLine="643" w:firstLineChars="200"/>
        <w:outlineLvl w:val="0"/>
        <w:rPr>
          <w:rFonts w:hint="eastAsia" w:ascii="楷体_GB2312" w:hAnsi="仿宋" w:eastAsia="楷体_GB2312"/>
          <w:b/>
          <w:sz w:val="32"/>
          <w:szCs w:val="32"/>
        </w:rPr>
      </w:pPr>
      <w:r>
        <w:rPr>
          <w:rFonts w:hint="eastAsia" w:ascii="楷体_GB2312" w:hAnsi="仿宋" w:eastAsia="楷体_GB2312"/>
          <w:b/>
          <w:sz w:val="32"/>
          <w:szCs w:val="32"/>
        </w:rPr>
        <w:t>（三）年末结转和结余情况。</w:t>
      </w:r>
    </w:p>
    <w:p>
      <w:pPr>
        <w:snapToGrid w:val="0"/>
        <w:spacing w:line="520" w:lineRule="exact"/>
        <w:rPr>
          <w:rFonts w:hint="eastAsia" w:ascii="楷体_GB2312" w:hAnsi="仿宋" w:eastAsia="楷体_GB2312"/>
          <w:b/>
          <w:sz w:val="32"/>
          <w:szCs w:val="32"/>
        </w:rPr>
      </w:pPr>
      <w:r>
        <w:rPr>
          <w:rFonts w:hint="eastAsia" w:ascii="仿宋" w:hAnsi="仿宋" w:eastAsia="仿宋" w:cs="仿宋"/>
          <w:bCs/>
          <w:sz w:val="32"/>
          <w:szCs w:val="32"/>
        </w:rPr>
        <w:t xml:space="preserve"> 收支结余情况：本年年末结转0万元（其中基本支出结余0万元，项目结转0万元）。</w:t>
      </w:r>
    </w:p>
    <w:bookmarkEnd w:id="1"/>
    <w:p>
      <w:pPr>
        <w:numPr>
          <w:ilvl w:val="0"/>
          <w:numId w:val="4"/>
        </w:numPr>
        <w:snapToGrid w:val="0"/>
        <w:spacing w:line="520" w:lineRule="exact"/>
        <w:ind w:firstLine="643" w:firstLineChars="200"/>
        <w:outlineLvl w:val="0"/>
        <w:rPr>
          <w:rFonts w:hint="eastAsia" w:ascii="楷体_GB2312" w:hAnsi="仿宋" w:eastAsia="楷体_GB2312"/>
          <w:b/>
          <w:sz w:val="32"/>
          <w:szCs w:val="32"/>
        </w:rPr>
      </w:pPr>
      <w:bookmarkStart w:id="4" w:name="YS060103"/>
      <w:r>
        <w:rPr>
          <w:rFonts w:hint="eastAsia" w:ascii="楷体_GB2312" w:hAnsi="仿宋" w:eastAsia="楷体_GB2312"/>
          <w:b/>
          <w:sz w:val="32"/>
          <w:szCs w:val="32"/>
        </w:rPr>
        <w:t>与预算支出相关的其他指标分析。</w:t>
      </w:r>
    </w:p>
    <w:p>
      <w:pPr>
        <w:snapToGrid w:val="0"/>
        <w:spacing w:line="52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 无</w:t>
      </w:r>
    </w:p>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（六）当年预算执行及绩效管理中存在问题、原因及改进措施。</w:t>
      </w:r>
    </w:p>
    <w:bookmarkEnd w:id="4"/>
    <w:p>
      <w:pPr>
        <w:snapToGrid w:val="0"/>
        <w:spacing w:line="520" w:lineRule="exact"/>
        <w:ind w:firstLine="640"/>
        <w:rPr>
          <w:rFonts w:hint="eastAsia" w:ascii="楷体_GB2312" w:hAnsi="仿宋" w:eastAsia="楷体_GB2312"/>
          <w:bCs/>
          <w:sz w:val="32"/>
          <w:szCs w:val="32"/>
        </w:rPr>
      </w:pPr>
      <w:bookmarkStart w:id="5" w:name="YS060104"/>
      <w:r>
        <w:rPr>
          <w:rFonts w:hint="eastAsia" w:ascii="楷体_GB2312" w:hAnsi="仿宋" w:eastAsia="楷体_GB2312"/>
          <w:bCs/>
          <w:sz w:val="32"/>
          <w:szCs w:val="32"/>
        </w:rPr>
        <w:t>1、乡镇预算执行中存在的问题：</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1）预算执行分析不够全面深入。预算执行分析是财政预算执行情况的总结，部分预算执行分析仅停留在简单的数据汇总，没有从全方位、多层次、多角度反映财政支出状况，未对财政支出结构及变化趋势进行判断，未实现部门预算与执行分析的有机结合。</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2）预算执行与预算编制存在差异。由于财政部门与各预算乡镇之间的职能和分工不同，财政部门难以准确掌握各预算单位的职责，对单位的自编项目不能提出很好的建议。存在项目预算与工作计划脱节，部分需要用的项目没有纳入当年预算中，造成项目支出完成情况与年初预算存在差异，财政资金使用效益未能完成实现。</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2、乡镇预算编制与执行存在上述问题的原因分析：</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（1）乡镇预算监督不及时。乡镇预算基础数据资料不健全，使财政部门无法及时全部掌握乡镇预算资源与需求。</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2）预算执行分析不深入。预算执行分析是对预算收支活动全过程的分析，以及时掌握预算收支状况，发现和解决预算执行中存在的问题，保证预算顺利执行。由于对预算执行分析的重要性认识不够，为分析而分析，没有达到应有的效果。</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3、乡镇预算执行改进措施：</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1）加强预算执行分析，提高运行效率和使用效益。预算执行分析是加强预算收支管理，促进预算收支目标任务全面完成的重要手段，是整个财政预算执行工作的重要组成部分。要高度重视预算执行分析工作，认识到做好财政预算执行分析工作的重要意义，牢牢把握预算执行分析工作的真实性、及时性和全面性的要求，及时跟踪预算执行动态化过程，重点研究预算执行过程中出现的各种问题，强化预算执行全过程的管理，提供祥实准确的数据，并准确地预测预算收支的发展趋势。</w:t>
      </w:r>
    </w:p>
    <w:p>
      <w:pPr>
        <w:snapToGrid w:val="0"/>
        <w:spacing w:line="520" w:lineRule="exact"/>
        <w:ind w:firstLine="640"/>
        <w:rPr>
          <w:rFonts w:hint="eastAsia" w:ascii="仿宋" w:hAnsi="仿宋" w:eastAsia="仿宋" w:cs="仿宋"/>
          <w:bCs/>
          <w:sz w:val="32"/>
          <w:szCs w:val="32"/>
        </w:rPr>
      </w:pPr>
      <w:r>
        <w:rPr>
          <w:rFonts w:hint="eastAsia" w:ascii="仿宋" w:hAnsi="仿宋" w:eastAsia="仿宋" w:cs="仿宋"/>
          <w:bCs/>
          <w:sz w:val="32"/>
          <w:szCs w:val="32"/>
        </w:rPr>
        <w:t>（2）加大乡镇的预测预算的公开力度。财政部门应全面掌握乡镇的资源与需求，建立各乡镇基础数据的定期报告和财政部门定期核查机制，提高财政资金安排的准确性，使财政资金真实、公平、有效分配，防止出现虚报虚列，有名无实。对于每一笔财政资金应向大众公开，大众监督是乡镇预算的重要监督力量，要充分发挥社会舆论对政府机关和国家工作人员的监督，培养大众监督的氛围，建立良好的大众监督机制，最终构成一套具有中国特色的全方位、多层次的乡镇预算监督体系。</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对资产、负债信息进行分析，主要分析与上年度对比情况，包括增减绝对值与幅度，增减变动主要原因。</w:t>
      </w:r>
    </w:p>
    <w:p>
      <w:pPr>
        <w:snapToGrid w:val="0"/>
        <w:spacing w:line="520" w:lineRule="exact"/>
        <w:ind w:firstLine="640" w:firstLineChars="200"/>
        <w:rPr>
          <w:rFonts w:hint="eastAsia" w:ascii="黑体" w:hAnsi="黑体" w:eastAsia="黑体"/>
          <w:sz w:val="32"/>
          <w:szCs w:val="32"/>
        </w:rPr>
      </w:pPr>
      <w:r>
        <w:rPr>
          <w:rFonts w:hint="eastAsia" w:ascii="黑体" w:hAnsi="黑体" w:eastAsia="黑体"/>
          <w:sz w:val="32"/>
          <w:szCs w:val="32"/>
        </w:rPr>
        <w:t>三、本年度部门决算等财务工作开展情况</w:t>
      </w:r>
    </w:p>
    <w:bookmarkEnd w:id="5"/>
    <w:p>
      <w:pPr>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（一）本单位财务管理、决算组织、编报、审核情况。</w:t>
      </w:r>
    </w:p>
    <w:p>
      <w:pPr>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我单位严格按照《行政事业单位合计制度》要求，依据《会计法》等法规建立健全财务制度，加强对银行存款和现金的管理，取得的各项收入及时入账，不允许收支现金，公款私存和挪用公款，对财政下达的一切资金，单位结合实际制定用款计划。单位对年终决算高度重视，组织专人负责编制决算报告，对决算数据进行了严格审核、分析。</w:t>
      </w:r>
    </w:p>
    <w:p>
      <w:pPr>
        <w:numPr>
          <w:ilvl w:val="0"/>
          <w:numId w:val="5"/>
        </w:numPr>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对单位的决算管理的意见和建议。</w:t>
      </w:r>
    </w:p>
    <w:p>
      <w:pPr>
        <w:numPr>
          <w:ilvl w:val="0"/>
          <w:numId w:val="6"/>
        </w:numPr>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统一思想，提高认识。要充分认识财政财务工作对各项经济、社会事业发展的重要性，对每笔财政资金的使用都要使其发挥最大的效益。</w:t>
      </w:r>
    </w:p>
    <w:p>
      <w:pPr>
        <w:numPr>
          <w:ilvl w:val="0"/>
          <w:numId w:val="6"/>
        </w:numPr>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改变方式，拓展财政资金监管的深度与广度。</w:t>
      </w:r>
    </w:p>
    <w:p>
      <w:pPr>
        <w:numPr>
          <w:ilvl w:val="0"/>
          <w:numId w:val="7"/>
        </w:numPr>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对加强部门决算数据分析利用工作的建议。</w:t>
      </w:r>
    </w:p>
    <w:p>
      <w:pPr>
        <w:numPr>
          <w:ilvl w:val="0"/>
          <w:numId w:val="8"/>
        </w:numPr>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加大宣传力度，明确单位责任。随着部门预算、国库集中支付、政府采购以及非税收入改革的不断深入，使得单位的会计主体地位更加明确。因此财政部门要加大宣传力度，进一步明确单位的责任主体单位，使预算单位充分认识到部门决算工作的重要性，提高单位财务人员的职业道德素养，树立起强烈的责任意识，重视部门决算审编工作。</w:t>
      </w:r>
    </w:p>
    <w:p>
      <w:pPr>
        <w:numPr>
          <w:ilvl w:val="0"/>
          <w:numId w:val="8"/>
        </w:numPr>
        <w:snapToGrid w:val="0"/>
        <w:spacing w:line="560" w:lineRule="exact"/>
        <w:ind w:firstLine="640" w:firstLineChars="200"/>
        <w:rPr>
          <w:rFonts w:hint="eastAsia" w:ascii="仿宋_GB2312" w:hAnsi="仿宋" w:eastAsia="仿宋_GB2312"/>
          <w:sz w:val="32"/>
          <w:szCs w:val="32"/>
        </w:rPr>
      </w:pPr>
      <w:r>
        <w:rPr>
          <w:rFonts w:hint="eastAsia" w:ascii="仿宋" w:hAnsi="仿宋" w:eastAsia="仿宋" w:cs="仿宋"/>
          <w:sz w:val="32"/>
          <w:szCs w:val="32"/>
        </w:rPr>
        <w:t>强化业务培训，注重培训效果。单位财务人员的水平高低直接决定决算报表的质量和效益。应开展多渠道，多形式的业务知识培训，充分利用后续教育平台，提高财务人员的业务素质，确保会计核算水平的提高。要注重培训实效，使单位财务人员都能熟练掌握编报方法和内容。</w:t>
      </w:r>
    </w:p>
    <w:p>
      <w:pPr>
        <w:numPr>
          <w:ilvl w:val="0"/>
          <w:numId w:val="8"/>
        </w:numPr>
        <w:snapToGrid w:val="0"/>
        <w:spacing w:line="560" w:lineRule="exact"/>
        <w:ind w:firstLine="640" w:firstLineChars="200"/>
        <w:rPr>
          <w:rFonts w:hint="eastAsia" w:ascii="仿宋_GB2312" w:hAnsi="仿宋" w:eastAsia="仿宋_GB2312"/>
          <w:sz w:val="32"/>
          <w:szCs w:val="32"/>
        </w:rPr>
      </w:pPr>
      <w:r>
        <w:rPr>
          <w:rFonts w:hint="eastAsia" w:ascii="仿宋" w:hAnsi="仿宋" w:eastAsia="仿宋" w:cs="仿宋"/>
          <w:sz w:val="32"/>
          <w:szCs w:val="32"/>
        </w:rPr>
        <w:t>夯实基础信息，促进编制规范。预算编制、预算执行、决算是一个有机的整体，预算编制通过预算执行加以验证，预算执行的结果形成决算，决算经过反馈，为预算编制提供参考。部门决算工作应完善后续监督反馈机制，进一步夯实数据信息。</w:t>
      </w:r>
      <w:r>
        <w:rPr>
          <w:rFonts w:hint="eastAsia" w:ascii="仿宋_GB2312" w:hAnsi="仿宋" w:eastAsia="仿宋_GB2312"/>
          <w:sz w:val="32"/>
          <w:szCs w:val="32"/>
        </w:rPr>
        <w:t xml:space="preserve"> </w:t>
      </w:r>
    </w:p>
    <w:p>
      <w:pPr>
        <w:snapToGrid w:val="0"/>
        <w:spacing w:line="520" w:lineRule="exact"/>
        <w:ind w:firstLine="640" w:firstLineChars="200"/>
        <w:rPr>
          <w:rFonts w:hint="eastAsia" w:ascii="仿宋_GB2312" w:hAnsi="仿宋" w:eastAsia="仿宋_GB2312"/>
          <w:sz w:val="32"/>
          <w:szCs w:val="32"/>
        </w:rPr>
      </w:pPr>
    </w:p>
    <w:p>
      <w:pPr>
        <w:widowControl/>
        <w:textAlignment w:val="cente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3</w:t>
    </w:r>
    <w:r>
      <w:rPr>
        <w:rFonts w:ascii="Arial" w:hAnsi="Arial" w:cs="Arial"/>
        <w:sz w:val="24"/>
        <w:szCs w:val="24"/>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2DDAF7"/>
    <w:multiLevelType w:val="singleLevel"/>
    <w:tmpl w:val="F72DDAF7"/>
    <w:lvl w:ilvl="0" w:tentative="0">
      <w:start w:val="4"/>
      <w:numFmt w:val="chineseCounting"/>
      <w:suff w:val="nothing"/>
      <w:lvlText w:val="（%1）"/>
      <w:lvlJc w:val="left"/>
      <w:rPr>
        <w:rFonts w:hint="eastAsia"/>
      </w:rPr>
    </w:lvl>
  </w:abstractNum>
  <w:abstractNum w:abstractNumId="1">
    <w:nsid w:val="5A6DD2E1"/>
    <w:multiLevelType w:val="singleLevel"/>
    <w:tmpl w:val="5A6DD2E1"/>
    <w:lvl w:ilvl="0" w:tentative="0">
      <w:start w:val="3"/>
      <w:numFmt w:val="decimal"/>
      <w:lvlText w:val="%1."/>
      <w:lvlJc w:val="left"/>
      <w:pPr>
        <w:tabs>
          <w:tab w:val="left" w:pos="312"/>
        </w:tabs>
      </w:pPr>
    </w:lvl>
  </w:abstractNum>
  <w:abstractNum w:abstractNumId="2">
    <w:nsid w:val="5A6DD3C1"/>
    <w:multiLevelType w:val="singleLevel"/>
    <w:tmpl w:val="5A6DD3C1"/>
    <w:lvl w:ilvl="0" w:tentative="0">
      <w:start w:val="7"/>
      <w:numFmt w:val="decimal"/>
      <w:lvlText w:val="%1."/>
      <w:lvlJc w:val="left"/>
      <w:pPr>
        <w:tabs>
          <w:tab w:val="left" w:pos="312"/>
        </w:tabs>
      </w:pPr>
    </w:lvl>
  </w:abstractNum>
  <w:abstractNum w:abstractNumId="3">
    <w:nsid w:val="5A6DD5F3"/>
    <w:multiLevelType w:val="singleLevel"/>
    <w:tmpl w:val="5A6DD5F3"/>
    <w:lvl w:ilvl="0" w:tentative="0">
      <w:start w:val="3"/>
      <w:numFmt w:val="decimal"/>
      <w:suff w:val="nothing"/>
      <w:lvlText w:val="%1．"/>
      <w:lvlJc w:val="left"/>
    </w:lvl>
  </w:abstractNum>
  <w:abstractNum w:abstractNumId="4">
    <w:nsid w:val="5A6FFB48"/>
    <w:multiLevelType w:val="singleLevel"/>
    <w:tmpl w:val="5A6FFB48"/>
    <w:lvl w:ilvl="0" w:tentative="0">
      <w:start w:val="2"/>
      <w:numFmt w:val="chineseCounting"/>
      <w:suff w:val="nothing"/>
      <w:lvlText w:val="（%1）"/>
      <w:lvlJc w:val="left"/>
    </w:lvl>
  </w:abstractNum>
  <w:abstractNum w:abstractNumId="5">
    <w:nsid w:val="5A6FFCA2"/>
    <w:multiLevelType w:val="singleLevel"/>
    <w:tmpl w:val="5A6FFCA2"/>
    <w:lvl w:ilvl="0" w:tentative="0">
      <w:start w:val="1"/>
      <w:numFmt w:val="decimal"/>
      <w:suff w:val="nothing"/>
      <w:lvlText w:val="%1、"/>
      <w:lvlJc w:val="left"/>
    </w:lvl>
  </w:abstractNum>
  <w:abstractNum w:abstractNumId="6">
    <w:nsid w:val="5A6FFCEC"/>
    <w:multiLevelType w:val="singleLevel"/>
    <w:tmpl w:val="5A6FFCEC"/>
    <w:lvl w:ilvl="0" w:tentative="0">
      <w:start w:val="3"/>
      <w:numFmt w:val="chineseCounting"/>
      <w:suff w:val="nothing"/>
      <w:lvlText w:val="（%1）"/>
      <w:lvlJc w:val="left"/>
    </w:lvl>
  </w:abstractNum>
  <w:abstractNum w:abstractNumId="7">
    <w:nsid w:val="5A70162D"/>
    <w:multiLevelType w:val="singleLevel"/>
    <w:tmpl w:val="5A70162D"/>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A540A"/>
    <w:rsid w:val="010158D6"/>
    <w:rsid w:val="018502B5"/>
    <w:rsid w:val="04001E75"/>
    <w:rsid w:val="053E4A03"/>
    <w:rsid w:val="08BB72D5"/>
    <w:rsid w:val="09CF6571"/>
    <w:rsid w:val="0ABA2D7D"/>
    <w:rsid w:val="0CA1486E"/>
    <w:rsid w:val="0D9755F8"/>
    <w:rsid w:val="12C81DAF"/>
    <w:rsid w:val="13702B73"/>
    <w:rsid w:val="14E752B5"/>
    <w:rsid w:val="150A4901"/>
    <w:rsid w:val="17176B6F"/>
    <w:rsid w:val="19D727EC"/>
    <w:rsid w:val="1B323139"/>
    <w:rsid w:val="1C5841A4"/>
    <w:rsid w:val="1EFD54D7"/>
    <w:rsid w:val="21E72838"/>
    <w:rsid w:val="24217571"/>
    <w:rsid w:val="25AC6215"/>
    <w:rsid w:val="279B763B"/>
    <w:rsid w:val="2B6D12EE"/>
    <w:rsid w:val="2C5C1A8E"/>
    <w:rsid w:val="2DFB52D7"/>
    <w:rsid w:val="30A734F4"/>
    <w:rsid w:val="31E636AD"/>
    <w:rsid w:val="33BC2E13"/>
    <w:rsid w:val="347A51A8"/>
    <w:rsid w:val="389B393F"/>
    <w:rsid w:val="3D141679"/>
    <w:rsid w:val="3E2600DE"/>
    <w:rsid w:val="40D23C76"/>
    <w:rsid w:val="435412BA"/>
    <w:rsid w:val="43784FA8"/>
    <w:rsid w:val="47B24801"/>
    <w:rsid w:val="55F66200"/>
    <w:rsid w:val="5F7E34EF"/>
    <w:rsid w:val="62A81CF7"/>
    <w:rsid w:val="660D737A"/>
    <w:rsid w:val="67C43A69"/>
    <w:rsid w:val="69F85C4B"/>
    <w:rsid w:val="6A203EB8"/>
    <w:rsid w:val="6AE9689D"/>
    <w:rsid w:val="6B62059C"/>
    <w:rsid w:val="766A540A"/>
    <w:rsid w:val="78526E6F"/>
    <w:rsid w:val="7A0F3269"/>
    <w:rsid w:val="7C7970C0"/>
    <w:rsid w:val="7EDA2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rPr>
      <w:szCs w:val="24"/>
      <w:lang w:bidi="ar-SA"/>
    </w:r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正文-公1"/>
    <w:basedOn w:val="9"/>
    <w:next w:val="1"/>
    <w:qFormat/>
    <w:uiPriority w:val="0"/>
    <w:pPr>
      <w:ind w:firstLine="200" w:firstLineChars="200"/>
    </w:p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next w:val="8"/>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[工作簿1]Sheet1!$A$2:$A$4</c:f>
              <c:strCache>
                <c:ptCount val="3"/>
                <c:pt idx="0">
                  <c:v>人员经费</c:v>
                </c:pt>
                <c:pt idx="1">
                  <c:v>公用经费</c:v>
                </c:pt>
                <c:pt idx="2">
                  <c:v>项目支出</c:v>
                </c:pt>
              </c:strCache>
            </c:strRef>
          </c:cat>
          <c:val>
            <c:numRef>
              <c:f>[工作簿1]Sheet1!$B$2:$B$4</c:f>
              <c:numCache>
                <c:formatCode>#,##0.00</c:formatCode>
                <c:ptCount val="3"/>
                <c:pt idx="0">
                  <c:v>17275040.65</c:v>
                </c:pt>
                <c:pt idx="1">
                  <c:v>829292.46</c:v>
                </c:pt>
                <c:pt idx="2">
                  <c:v>2516001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[工作簿1]Sheet1!$D$15</c:f>
              <c:strCache>
                <c:ptCount val="1"/>
                <c:pt idx="0">
                  <c:v>2023</c:v>
                </c:pt>
              </c:strCache>
            </c:strRef>
          </c:tx>
          <c:spPr>
            <a:solidFill>
              <a:schemeClr val="accent1"/>
            </a:solidFill>
            <a:ln>
              <a:noFill/>
            </a:ln>
            <a:effectLst/>
          </c:spPr>
          <c:invertIfNegative val="0"/>
          <c:dLbls>
            <c:delete val="1"/>
          </c:dLbls>
          <c:cat>
            <c:strRef>
              <c:f>[工作簿1]Sheet1!$E$14:$G$14</c:f>
              <c:strCache>
                <c:ptCount val="3"/>
                <c:pt idx="0">
                  <c:v>人员经费</c:v>
                </c:pt>
                <c:pt idx="1">
                  <c:v>公用经费</c:v>
                </c:pt>
                <c:pt idx="2">
                  <c:v>项目支出</c:v>
                </c:pt>
              </c:strCache>
            </c:strRef>
          </c:cat>
          <c:val>
            <c:numRef>
              <c:f>[工作簿1]Sheet1!$E$15:$G$15</c:f>
              <c:numCache>
                <c:formatCode>General</c:formatCode>
                <c:ptCount val="3"/>
                <c:pt idx="0">
                  <c:v>16360573.72</c:v>
                </c:pt>
                <c:pt idx="1">
                  <c:v>386946.01</c:v>
                </c:pt>
                <c:pt idx="2">
                  <c:v>2262197.57</c:v>
                </c:pt>
              </c:numCache>
            </c:numRef>
          </c:val>
        </c:ser>
        <c:ser>
          <c:idx val="1"/>
          <c:order val="1"/>
          <c:tx>
            <c:strRef>
              <c:f>[工作簿1]Sheet1!$D$16</c:f>
              <c:strCache>
                <c:ptCount val="1"/>
                <c:pt idx="0">
                  <c:v>2024</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[工作簿1]Sheet1!$E$14:$G$14</c:f>
              <c:strCache>
                <c:ptCount val="3"/>
                <c:pt idx="0">
                  <c:v>人员经费</c:v>
                </c:pt>
                <c:pt idx="1">
                  <c:v>公用经费</c:v>
                </c:pt>
                <c:pt idx="2">
                  <c:v>项目支出</c:v>
                </c:pt>
              </c:strCache>
            </c:strRef>
          </c:cat>
          <c:val>
            <c:numRef>
              <c:f>[工作簿1]Sheet1!$E$16:$G$16</c:f>
              <c:numCache>
                <c:formatCode>General</c:formatCode>
                <c:ptCount val="3"/>
                <c:pt idx="0">
                  <c:v>17275040.65</c:v>
                </c:pt>
                <c:pt idx="1">
                  <c:v>829292.46</c:v>
                </c:pt>
                <c:pt idx="2">
                  <c:v>2516001</c:v>
                </c:pt>
              </c:numCache>
            </c:numRef>
          </c:val>
        </c:ser>
        <c:dLbls>
          <c:showLegendKey val="0"/>
          <c:showVal val="1"/>
          <c:showCatName val="0"/>
          <c:showSerName val="0"/>
          <c:showPercent val="0"/>
          <c:showBubbleSize val="0"/>
        </c:dLbls>
        <c:gapWidth val="219"/>
        <c:overlap val="-27"/>
        <c:axId val="103923716"/>
        <c:axId val="734389164"/>
      </c:barChart>
      <c:catAx>
        <c:axId val="10392371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4389164"/>
        <c:crosses val="autoZero"/>
        <c:auto val="1"/>
        <c:lblAlgn val="ctr"/>
        <c:lblOffset val="100"/>
        <c:noMultiLvlLbl val="0"/>
      </c:catAx>
      <c:valAx>
        <c:axId val="7343891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392371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5375</Words>
  <Characters>6082</Characters>
  <Lines>0</Lines>
  <Paragraphs>0</Paragraphs>
  <TotalTime>0</TotalTime>
  <ScaleCrop>false</ScaleCrop>
  <LinksUpToDate>false</LinksUpToDate>
  <CharactersWithSpaces>6374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2024-01-28T08:27:00Z</dcterms:created>
  <dc:creator>Administrator</dc:creator>
  <cp:lastModifiedBy>Administrator</cp:lastModifiedBy>
  <dcterms:modified xsi:type="dcterms:W3CDTF">2025-02-13T14:33:21Z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5A43594F3717481BBD6B746094147496</vt:lpwstr>
  </property>
</Properties>
</file>