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BF900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themeColor="text1"/>
          <w:sz w:val="44"/>
          <w:szCs w:val="44"/>
          <w:u w:val="none" w:color="auto"/>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u w:val="none" w:color="auto"/>
          <w:lang w:val="en-US" w:eastAsia="zh-CN"/>
          <w14:textFill>
            <w14:solidFill>
              <w14:schemeClr w14:val="tx1"/>
            </w14:solidFill>
          </w14:textFill>
        </w:rPr>
        <w:t>政府工作报告</w:t>
      </w:r>
    </w:p>
    <w:p w14:paraId="08D5361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楷体_GB2312" w:hAnsi="楷体_GB2312" w:eastAsia="楷体_GB2312" w:cs="楷体_GB2312"/>
          <w:color w:val="000000" w:themeColor="text1"/>
          <w:w w:val="98"/>
          <w:sz w:val="32"/>
          <w:szCs w:val="32"/>
          <w:highlight w:val="none"/>
          <w:u w:val="none" w:color="auto"/>
          <w:lang w:val="en-US" w:eastAsia="zh-CN"/>
          <w14:textFill>
            <w14:solidFill>
              <w14:schemeClr w14:val="tx1"/>
            </w14:solidFill>
          </w14:textFill>
        </w:rPr>
      </w:pPr>
      <w:r>
        <w:rPr>
          <w:rFonts w:hint="eastAsia" w:ascii="楷体_GB2312" w:hAnsi="楷体_GB2312" w:eastAsia="楷体_GB2312" w:cs="楷体_GB2312"/>
          <w:color w:val="000000" w:themeColor="text1"/>
          <w:w w:val="98"/>
          <w:sz w:val="32"/>
          <w:szCs w:val="32"/>
          <w:highlight w:val="none"/>
          <w:u w:val="none" w:color="auto"/>
          <w:lang w:val="en-US" w:eastAsia="zh-CN"/>
          <w14:textFill>
            <w14:solidFill>
              <w14:schemeClr w14:val="tx1"/>
            </w14:solidFill>
          </w14:textFill>
        </w:rPr>
        <w:t>——2025年3月在八宿县第十三届人民代表大会第六次会议上</w:t>
      </w:r>
    </w:p>
    <w:p w14:paraId="130BE8A2">
      <w:pPr>
        <w:keepNext w:val="0"/>
        <w:keepLines w:val="0"/>
        <w:pageBreakBefore w:val="0"/>
        <w:widowControl w:val="0"/>
        <w:kinsoku/>
        <w:wordWrap/>
        <w:overflowPunct/>
        <w:topLinePunct w:val="0"/>
        <w:autoSpaceDE/>
        <w:autoSpaceDN/>
        <w:bidi w:val="0"/>
        <w:adjustRightInd/>
        <w:snapToGrid/>
        <w:spacing w:line="560" w:lineRule="exact"/>
        <w:ind w:firstLine="626" w:firstLineChars="200"/>
        <w:jc w:val="center"/>
        <w:textAlignment w:val="auto"/>
        <w:rPr>
          <w:rFonts w:hint="eastAsia" w:ascii="楷体_GB2312" w:hAnsi="楷体_GB2312" w:eastAsia="楷体_GB2312" w:cs="楷体_GB2312"/>
          <w:color w:val="000000" w:themeColor="text1"/>
          <w:sz w:val="32"/>
          <w:szCs w:val="32"/>
          <w:u w:val="none" w:color="auto"/>
          <w:lang w:val="en-US" w:eastAsia="zh-CN"/>
          <w14:textFill>
            <w14:solidFill>
              <w14:schemeClr w14:val="tx1"/>
            </w14:solidFill>
          </w14:textFill>
        </w:rPr>
      </w:pPr>
      <w:r>
        <w:rPr>
          <w:rFonts w:hint="eastAsia" w:ascii="楷体_GB2312" w:hAnsi="楷体_GB2312" w:eastAsia="楷体_GB2312" w:cs="楷体_GB2312"/>
          <w:color w:val="000000" w:themeColor="text1"/>
          <w:w w:val="98"/>
          <w:sz w:val="32"/>
          <w:szCs w:val="32"/>
          <w:highlight w:val="none"/>
          <w:u w:val="none" w:color="auto"/>
          <w:lang w:val="en-US" w:eastAsia="zh-CN"/>
          <w14:textFill>
            <w14:solidFill>
              <w14:schemeClr w14:val="tx1"/>
            </w14:solidFill>
          </w14:textFill>
        </w:rPr>
        <w:t>八宿县人民政府县长  德嘎旺姆</w:t>
      </w:r>
    </w:p>
    <w:p w14:paraId="28D201CD">
      <w:pPr>
        <w:keepNext w:val="0"/>
        <w:keepLines w:val="0"/>
        <w:pageBreakBefore w:val="0"/>
        <w:widowControl w:val="0"/>
        <w:kinsoku/>
        <w:wordWrap/>
        <w:overflowPunct w:val="0"/>
        <w:topLinePunct w:val="0"/>
        <w:autoSpaceDE/>
        <w:autoSpaceDN/>
        <w:bidi w:val="0"/>
        <w:adjustRightInd/>
        <w:snapToGrid/>
        <w:spacing w:line="560" w:lineRule="exact"/>
        <w:jc w:val="both"/>
        <w:textAlignment w:val="auto"/>
        <w:rPr>
          <w:rFonts w:hint="eastAsia" w:ascii="黑体" w:hAnsi="黑体" w:eastAsia="黑体" w:cs="黑体"/>
          <w:snapToGrid w:val="0"/>
          <w:color w:val="000000" w:themeColor="text1"/>
          <w:spacing w:val="0"/>
          <w:sz w:val="32"/>
          <w:szCs w:val="32"/>
          <w:highlight w:val="none"/>
          <w:u w:val="none" w:color="auto"/>
          <w14:textFill>
            <w14:solidFill>
              <w14:schemeClr w14:val="tx1"/>
            </w14:solidFill>
          </w14:textFill>
        </w:rPr>
      </w:pPr>
    </w:p>
    <w:p w14:paraId="22566ED3">
      <w:pPr>
        <w:keepNext w:val="0"/>
        <w:keepLines w:val="0"/>
        <w:pageBreakBefore w:val="0"/>
        <w:widowControl w:val="0"/>
        <w:kinsoku/>
        <w:wordWrap/>
        <w:overflowPunct w:val="0"/>
        <w:topLinePunct w:val="0"/>
        <w:autoSpaceDE/>
        <w:autoSpaceDN/>
        <w:bidi w:val="0"/>
        <w:adjustRightInd/>
        <w:snapToGrid/>
        <w:spacing w:line="560" w:lineRule="exact"/>
        <w:jc w:val="both"/>
        <w:textAlignment w:val="auto"/>
        <w:rPr>
          <w:rFonts w:hint="eastAsia" w:ascii="楷体_GB2312" w:hAnsi="楷体_GB2312" w:eastAsia="楷体_GB2312" w:cs="楷体_GB2312"/>
          <w:snapToGrid w:val="0"/>
          <w:color w:val="000000" w:themeColor="text1"/>
          <w:spacing w:val="0"/>
          <w:sz w:val="32"/>
          <w:szCs w:val="32"/>
          <w:highlight w:val="none"/>
          <w:u w:val="none" w:color="auto"/>
          <w14:textFill>
            <w14:solidFill>
              <w14:schemeClr w14:val="tx1"/>
            </w14:solidFill>
          </w14:textFill>
        </w:rPr>
      </w:pPr>
      <w:r>
        <w:rPr>
          <w:rFonts w:hint="eastAsia" w:ascii="楷体_GB2312" w:hAnsi="楷体_GB2312" w:eastAsia="楷体_GB2312" w:cs="楷体_GB2312"/>
          <w:snapToGrid w:val="0"/>
          <w:color w:val="000000" w:themeColor="text1"/>
          <w:spacing w:val="0"/>
          <w:sz w:val="32"/>
          <w:szCs w:val="32"/>
          <w:highlight w:val="none"/>
          <w:u w:val="none" w:color="auto"/>
          <w14:textFill>
            <w14:solidFill>
              <w14:schemeClr w14:val="tx1"/>
            </w14:solidFill>
          </w14:textFill>
        </w:rPr>
        <w:t>各位代表：</w:t>
      </w:r>
    </w:p>
    <w:p w14:paraId="5B6B3B0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kern w:val="2"/>
          <w:sz w:val="32"/>
          <w:szCs w:val="32"/>
          <w:u w:val="none" w:color="auto"/>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u w:val="none" w:color="auto"/>
          <w:lang w:val="en-US" w:eastAsia="zh-CN" w:bidi="ar-SA"/>
          <w14:textFill>
            <w14:solidFill>
              <w14:schemeClr w14:val="tx1"/>
            </w14:solidFill>
          </w14:textFill>
        </w:rPr>
        <w:t>现在，我代表县人民政府，向大会报告政府工作，请予审议，并请各位政协委员和列席同志提出意见。</w:t>
      </w:r>
    </w:p>
    <w:p w14:paraId="2140397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snapToGrid w:val="0"/>
          <w:color w:val="000000" w:themeColor="text1"/>
          <w:spacing w:val="0"/>
          <w:sz w:val="32"/>
          <w:szCs w:val="32"/>
          <w:highlight w:val="none"/>
          <w:u w:val="none" w:color="auto"/>
          <w:lang w:eastAsia="zh-CN"/>
          <w14:textFill>
            <w14:solidFill>
              <w14:schemeClr w14:val="tx1"/>
            </w14:solidFill>
          </w14:textFill>
        </w:rPr>
      </w:pPr>
    </w:p>
    <w:p w14:paraId="644BE52A">
      <w:pPr>
        <w:pStyle w:val="3"/>
        <w:keepNext w:val="0"/>
        <w:keepLines w:val="0"/>
        <w:pageBreakBefore w:val="0"/>
        <w:widowControl w:val="0"/>
        <w:kinsoku/>
        <w:wordWrap/>
        <w:topLinePunct w:val="0"/>
        <w:autoSpaceDE/>
        <w:autoSpaceDN/>
        <w:bidi w:val="0"/>
        <w:adjustRightInd/>
        <w:snapToGrid/>
        <w:spacing w:afterLines="0" w:line="560" w:lineRule="exact"/>
        <w:jc w:val="center"/>
        <w:textAlignment w:val="auto"/>
        <w:rPr>
          <w:rFonts w:hint="eastAsia" w:ascii="黑体" w:hAnsi="黑体" w:eastAsia="黑体" w:cs="黑体"/>
          <w:color w:val="000000" w:themeColor="text1"/>
          <w:sz w:val="32"/>
          <w:szCs w:val="32"/>
          <w:u w:val="none" w:color="auto"/>
          <w:lang w:val="en-US" w:eastAsia="zh-CN"/>
          <w14:textFill>
            <w14:solidFill>
              <w14:schemeClr w14:val="tx1"/>
            </w14:solidFill>
          </w14:textFill>
        </w:rPr>
      </w:pPr>
      <w:r>
        <w:rPr>
          <w:rFonts w:hint="eastAsia" w:ascii="黑体" w:hAnsi="黑体" w:eastAsia="黑体" w:cs="黑体"/>
          <w:color w:val="000000" w:themeColor="text1"/>
          <w:sz w:val="32"/>
          <w:szCs w:val="32"/>
          <w:u w:val="none" w:color="auto"/>
          <w:lang w:val="en-US" w:eastAsia="zh-CN"/>
          <w14:textFill>
            <w14:solidFill>
              <w14:schemeClr w14:val="tx1"/>
            </w14:solidFill>
          </w14:textFill>
        </w:rPr>
        <w:t>2024年工作回顾</w:t>
      </w:r>
    </w:p>
    <w:p w14:paraId="41279121">
      <w:pPr>
        <w:pStyle w:val="3"/>
        <w:keepNext w:val="0"/>
        <w:keepLines w:val="0"/>
        <w:pageBreakBefore w:val="0"/>
        <w:widowControl w:val="0"/>
        <w:kinsoku/>
        <w:wordWrap/>
        <w:overflowPunct/>
        <w:topLinePunct w:val="0"/>
        <w:autoSpaceDE/>
        <w:autoSpaceDN/>
        <w:bidi w:val="0"/>
        <w:adjustRightInd w:val="0"/>
        <w:snapToGrid/>
        <w:spacing w:afterLines="0" w:line="560" w:lineRule="exact"/>
        <w:ind w:firstLine="640" w:firstLineChars="200"/>
        <w:textAlignment w:val="auto"/>
        <w:rPr>
          <w:rFonts w:hint="default" w:ascii="仿宋_GB2312" w:hAnsi="仿宋_GB2312" w:eastAsia="仿宋_GB2312" w:cs="仿宋_GB2312"/>
          <w:color w:val="000000" w:themeColor="text1"/>
          <w:sz w:val="32"/>
          <w:szCs w:val="32"/>
          <w:u w:val="none" w:color="auto"/>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u w:val="none" w:color="auto"/>
          <w:lang w:val="en-US" w:eastAsia="zh-CN"/>
          <w14:textFill>
            <w14:solidFill>
              <w14:schemeClr w14:val="tx1"/>
            </w14:solidFill>
          </w14:textFill>
        </w:rPr>
        <w:t>2024年，是新中国成立75周年，是实现“十四五”规划的关键之年。一年来，我们坚持以习近平新时代中国特色社会主义思想为指导，深入学习贯彻党的二十大和二十届二中、三中全会精神，全面贯彻落实习近平总书记关于西藏工作的重要指示和新时代党的治藏方略，认真落实</w:t>
      </w:r>
      <w:r>
        <w:rPr>
          <w:rFonts w:hint="eastAsia" w:ascii="仿宋_GB2312" w:hAnsi="仿宋_GB2312" w:eastAsia="仿宋_GB2312" w:cs="仿宋_GB2312"/>
          <w:color w:val="000000" w:themeColor="text1"/>
          <w:sz w:val="32"/>
          <w:szCs w:val="32"/>
          <w:highlight w:val="none"/>
          <w:u w:val="none" w:color="auto"/>
          <w:lang w:val="en-US" w:eastAsia="zh-CN"/>
          <w14:textFill>
            <w14:solidFill>
              <w14:schemeClr w14:val="tx1"/>
            </w14:solidFill>
          </w14:textFill>
        </w:rPr>
        <w:t>自治区党委政府、市委市政府和县委各项部署要求，</w:t>
      </w:r>
      <w:r>
        <w:rPr>
          <w:rFonts w:hint="eastAsia" w:ascii="仿宋_GB2312" w:hAnsi="仿宋_GB2312" w:eastAsia="仿宋_GB2312" w:cs="仿宋_GB2312"/>
          <w:color w:val="000000" w:themeColor="text1"/>
          <w:sz w:val="32"/>
          <w:szCs w:val="32"/>
          <w:u w:val="none" w:color="auto"/>
          <w:lang w:val="en-US" w:eastAsia="zh-CN"/>
          <w14:textFill>
            <w14:solidFill>
              <w14:schemeClr w14:val="tx1"/>
            </w14:solidFill>
          </w14:textFill>
        </w:rPr>
        <w:t>聚焦“四件大事”聚力“四个创建”，坚持“百姓经济”发展定位，沉着应变、综合施策，真抓实干、开拓奋进，中国式现代化新八宿建设迈出坚实步伐。</w:t>
      </w:r>
    </w:p>
    <w:p w14:paraId="75F400D6">
      <w:pPr>
        <w:pStyle w:val="3"/>
        <w:keepNext w:val="0"/>
        <w:keepLines w:val="0"/>
        <w:pageBreakBefore w:val="0"/>
        <w:widowControl w:val="0"/>
        <w:kinsoku/>
        <w:wordWrap/>
        <w:overflowPunct/>
        <w:topLinePunct w:val="0"/>
        <w:autoSpaceDE/>
        <w:autoSpaceDN/>
        <w:bidi w:val="0"/>
        <w:adjustRightInd w:val="0"/>
        <w:snapToGrid/>
        <w:spacing w:afterLines="0" w:line="560" w:lineRule="exact"/>
        <w:ind w:firstLine="643" w:firstLineChars="200"/>
        <w:textAlignment w:val="auto"/>
        <w:rPr>
          <w:rFonts w:hint="eastAsia" w:ascii="仿宋_GB2312" w:hAnsi="仿宋_GB2312" w:eastAsia="仿宋_GB2312" w:cs="仿宋_GB2312"/>
          <w:color w:val="000000" w:themeColor="text1"/>
          <w:sz w:val="32"/>
          <w:szCs w:val="32"/>
          <w:u w:val="none" w:color="auto"/>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u w:val="none" w:color="auto"/>
          <w:lang w:val="en-US" w:eastAsia="zh-CN"/>
          <w14:textFill>
            <w14:solidFill>
              <w14:schemeClr w14:val="tx1"/>
            </w14:solidFill>
          </w14:textFill>
        </w:rPr>
        <w:t>经济总量实现升级扩容。</w:t>
      </w:r>
      <w:r>
        <w:rPr>
          <w:rFonts w:hint="eastAsia" w:ascii="仿宋_GB2312" w:hAnsi="仿宋_GB2312" w:eastAsia="仿宋_GB2312" w:cs="仿宋_GB2312"/>
          <w:color w:val="000000" w:themeColor="text1"/>
          <w:sz w:val="32"/>
          <w:szCs w:val="32"/>
          <w:u w:val="none" w:color="auto"/>
          <w:lang w:val="en-US" w:eastAsia="zh-CN"/>
          <w14:textFill>
            <w14:solidFill>
              <w14:schemeClr w14:val="tx1"/>
            </w14:solidFill>
          </w14:textFill>
        </w:rPr>
        <w:t>2024年地方生产总值22.97亿元，增长6.6%；固定资产投资21.54亿元，增长40.7%；社会消费品零售总额6.81亿元，增长7.4%；</w:t>
      </w:r>
      <w:r>
        <w:rPr>
          <w:rFonts w:hint="eastAsia" w:ascii="仿宋_GB2312" w:hAnsi="仿宋_GB2312" w:eastAsia="仿宋_GB2312" w:cs="仿宋_GB2312"/>
          <w:color w:val="000000" w:themeColor="text1"/>
          <w:sz w:val="32"/>
          <w:szCs w:val="32"/>
          <w:highlight w:val="none"/>
          <w:u w:val="none" w:color="auto"/>
          <w:lang w:val="en-US" w:eastAsia="zh-CN"/>
          <w14:textFill>
            <w14:solidFill>
              <w14:schemeClr w14:val="tx1"/>
            </w14:solidFill>
          </w14:textFill>
        </w:rPr>
        <w:t>一般公共预算收入1.45亿元，增长64.01%；</w:t>
      </w:r>
      <w:r>
        <w:rPr>
          <w:rFonts w:hint="eastAsia" w:ascii="仿宋_GB2312" w:hAnsi="仿宋_GB2312" w:eastAsia="仿宋_GB2312" w:cs="仿宋_GB2312"/>
          <w:color w:val="000000" w:themeColor="text1"/>
          <w:sz w:val="32"/>
          <w:szCs w:val="32"/>
          <w:u w:val="none" w:color="auto"/>
          <w:lang w:val="en-US" w:eastAsia="zh-CN"/>
          <w14:textFill>
            <w14:solidFill>
              <w14:schemeClr w14:val="tx1"/>
            </w14:solidFill>
          </w14:textFill>
        </w:rPr>
        <w:t>工业总产值10.93亿元，增长28.6%；城乡居民人均可支配收入49605元、20091元，分别增长6.8%、8.1%；主要经济指标增速位居全市前列，发展势头强劲。</w:t>
      </w:r>
    </w:p>
    <w:p w14:paraId="103498BE">
      <w:pPr>
        <w:keepNext w:val="0"/>
        <w:keepLines w:val="0"/>
        <w:pageBreakBefore w:val="0"/>
        <w:kinsoku/>
        <w:wordWrap/>
        <w:autoSpaceDE/>
        <w:autoSpaceDN/>
        <w:bidi w:val="0"/>
        <w:snapToGrid w:val="0"/>
        <w:spacing w:line="560" w:lineRule="exact"/>
        <w:ind w:firstLine="643" w:firstLineChars="200"/>
        <w:textAlignment w:val="auto"/>
        <w:rPr>
          <w:rFonts w:hint="eastAsia" w:ascii="仿宋_GB2312" w:hAnsi="仿宋_GB2312" w:eastAsia="仿宋_GB2312" w:cs="仿宋_GB2312"/>
          <w:color w:val="000000" w:themeColor="text1"/>
          <w:sz w:val="32"/>
          <w:szCs w:val="32"/>
          <w:u w:val="none" w:color="auto"/>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u w:val="none" w:color="auto"/>
          <w:lang w:val="en-US" w:eastAsia="zh-CN"/>
          <w14:textFill>
            <w14:solidFill>
              <w14:schemeClr w14:val="tx1"/>
            </w14:solidFill>
          </w14:textFill>
        </w:rPr>
        <w:t>稳定局面实现长治久安</w:t>
      </w:r>
      <w:r>
        <w:rPr>
          <w:rFonts w:hint="eastAsia" w:ascii="楷体_GB2312" w:hAnsi="楷体_GB2312" w:eastAsia="楷体_GB2312" w:cs="楷体_GB2312"/>
          <w:b/>
          <w:bCs/>
          <w:color w:val="000000" w:themeColor="text1"/>
          <w:sz w:val="32"/>
          <w:szCs w:val="32"/>
          <w:u w:val="none" w:color="auto"/>
          <w14:textFill>
            <w14:solidFill>
              <w14:schemeClr w14:val="tx1"/>
            </w14:solidFill>
          </w14:textFill>
        </w:rPr>
        <w:t>。</w:t>
      </w:r>
      <w:r>
        <w:rPr>
          <w:rFonts w:hint="eastAsia" w:ascii="仿宋_GB2312" w:hAnsi="仿宋_GB2312" w:eastAsia="仿宋_GB2312" w:cs="仿宋_GB2312"/>
          <w:color w:val="000000" w:themeColor="text1"/>
          <w:sz w:val="32"/>
          <w:szCs w:val="32"/>
          <w:u w:val="none" w:color="auto"/>
          <w:lang w:val="en-US" w:eastAsia="zh-CN"/>
          <w14:textFill>
            <w14:solidFill>
              <w14:schemeClr w14:val="tx1"/>
            </w14:solidFill>
          </w14:textFill>
        </w:rPr>
        <w:t>坚持以铸牢中华民族共同体意识为主线，投入资金796万元举办“铸牢中华民族共同体意识”系列活动，组织1500余名农牧民党员群众赴区外参观交流学习，小茉莉花幼儿园荣获“全国民族团结进步示范单位”称号。</w:t>
      </w:r>
      <w:r>
        <w:rPr>
          <w:rFonts w:hint="default" w:ascii="仿宋_GB2312" w:hAnsi="仿宋_GB2312" w:eastAsia="仿宋_GB2312" w:cs="仿宋_GB2312"/>
          <w:b w:val="0"/>
          <w:bCs w:val="0"/>
          <w:color w:val="000000" w:themeColor="text1"/>
          <w:kern w:val="2"/>
          <w:sz w:val="32"/>
          <w:szCs w:val="32"/>
          <w:u w:val="none" w:color="auto"/>
          <w:lang w:val="en" w:eastAsia="zh-CN" w:bidi="ar-SA"/>
          <w14:textFill>
            <w14:solidFill>
              <w14:schemeClr w14:val="tx1"/>
            </w14:solidFill>
          </w14:textFill>
        </w:rPr>
        <w:t>常态化开展</w:t>
      </w:r>
      <w:r>
        <w:rPr>
          <w:rFonts w:hint="eastAsia" w:ascii="仿宋_GB2312" w:hAnsi="仿宋_GB2312" w:eastAsia="仿宋_GB2312" w:cs="仿宋_GB2312"/>
          <w:b w:val="0"/>
          <w:bCs w:val="0"/>
          <w:color w:val="000000" w:themeColor="text1"/>
          <w:spacing w:val="0"/>
          <w:kern w:val="0"/>
          <w:sz w:val="32"/>
          <w:szCs w:val="32"/>
          <w:u w:val="none" w:color="auto"/>
          <w:lang w:val="en-US" w:eastAsia="zh-CN"/>
          <w14:textFill>
            <w14:solidFill>
              <w14:schemeClr w14:val="tx1"/>
            </w14:solidFill>
          </w14:textFill>
        </w:rPr>
        <w:t>反分维稳、</w:t>
      </w:r>
      <w:r>
        <w:rPr>
          <w:rFonts w:hint="default" w:ascii="仿宋_GB2312" w:hAnsi="仿宋_GB2312" w:eastAsia="仿宋_GB2312" w:cs="仿宋_GB2312"/>
          <w:b w:val="0"/>
          <w:bCs w:val="0"/>
          <w:color w:val="000000" w:themeColor="text1"/>
          <w:kern w:val="2"/>
          <w:sz w:val="32"/>
          <w:szCs w:val="32"/>
          <w:u w:val="none" w:color="auto"/>
          <w:lang w:val="en" w:eastAsia="zh-CN" w:bidi="ar-SA"/>
          <w14:textFill>
            <w14:solidFill>
              <w14:schemeClr w14:val="tx1"/>
            </w14:solidFill>
          </w14:textFill>
        </w:rPr>
        <w:t>扫黑除恶、缉枪治爆等专项行动</w:t>
      </w:r>
      <w:r>
        <w:rPr>
          <w:rFonts w:hint="eastAsia" w:ascii="仿宋_GB2312" w:hAnsi="仿宋_GB2312" w:eastAsia="仿宋_GB2312" w:cs="仿宋_GB2312"/>
          <w:b w:val="0"/>
          <w:bCs w:val="0"/>
          <w:color w:val="000000" w:themeColor="text1"/>
          <w:kern w:val="2"/>
          <w:sz w:val="32"/>
          <w:szCs w:val="32"/>
          <w:u w:val="none" w:color="auto"/>
          <w:lang w:val="en" w:eastAsia="zh-CN" w:bidi="ar-SA"/>
          <w14:textFill>
            <w14:solidFill>
              <w14:schemeClr w14:val="tx1"/>
            </w14:solidFill>
          </w14:textFill>
        </w:rPr>
        <w:t>，</w:t>
      </w:r>
      <w:r>
        <w:rPr>
          <w:rFonts w:hint="eastAsia" w:ascii="仿宋_GB2312" w:hAnsi="仿宋_GB2312" w:eastAsia="仿宋_GB2312" w:cs="仿宋_GB2312"/>
          <w:b w:val="0"/>
          <w:bCs w:val="0"/>
          <w:color w:val="000000" w:themeColor="text1"/>
          <w:kern w:val="2"/>
          <w:sz w:val="32"/>
          <w:szCs w:val="32"/>
          <w:u w:val="none" w:color="auto"/>
          <w:lang w:val="en-US" w:eastAsia="zh-CN" w:bidi="ar-SA"/>
          <w14:textFill>
            <w14:solidFill>
              <w14:schemeClr w14:val="tx1"/>
            </w14:solidFill>
          </w14:textFill>
        </w:rPr>
        <w:t>治安案件发案率同比下降36%，连续三年无命案发生</w:t>
      </w:r>
      <w:r>
        <w:rPr>
          <w:rFonts w:hint="default" w:ascii="仿宋_GB2312" w:hAnsi="仿宋_GB2312" w:eastAsia="仿宋_GB2312" w:cs="仿宋_GB2312"/>
          <w:b w:val="0"/>
          <w:bCs w:val="0"/>
          <w:color w:val="000000" w:themeColor="text1"/>
          <w:kern w:val="2"/>
          <w:sz w:val="32"/>
          <w:szCs w:val="32"/>
          <w:u w:val="none" w:color="auto"/>
          <w:lang w:val="en" w:eastAsia="zh-CN" w:bidi="ar-SA"/>
          <w14:textFill>
            <w14:solidFill>
              <w14:schemeClr w14:val="tx1"/>
            </w14:solidFill>
          </w14:textFill>
        </w:rPr>
        <w:t>。</w:t>
      </w:r>
      <w:r>
        <w:rPr>
          <w:rFonts w:hint="eastAsia" w:ascii="仿宋_GB2312" w:hAnsi="仿宋_GB2312" w:eastAsia="仿宋_GB2312" w:cs="仿宋_GB2312"/>
          <w:b w:val="0"/>
          <w:bCs w:val="0"/>
          <w:color w:val="000000" w:themeColor="text1"/>
          <w:kern w:val="2"/>
          <w:sz w:val="32"/>
          <w:szCs w:val="32"/>
          <w:u w:val="none" w:color="auto"/>
          <w:lang w:val="en-US" w:eastAsia="zh-CN" w:bidi="ar-SA"/>
          <w14:textFill>
            <w14:solidFill>
              <w14:schemeClr w14:val="tx1"/>
            </w14:solidFill>
          </w14:textFill>
        </w:rPr>
        <w:t>强化安全生产各项措施落实，</w:t>
      </w:r>
      <w:r>
        <w:rPr>
          <w:rFonts w:hint="eastAsia" w:ascii="仿宋_GB2312" w:hAnsi="仿宋_GB2312" w:eastAsia="仿宋_GB2312" w:cs="仿宋_GB2312"/>
          <w:color w:val="000000" w:themeColor="text1"/>
          <w:sz w:val="32"/>
          <w:szCs w:val="32"/>
          <w:u w:val="none" w:color="auto"/>
          <w:lang w:eastAsia="zh-CN"/>
          <w14:textFill>
            <w14:solidFill>
              <w14:schemeClr w14:val="tx1"/>
            </w14:solidFill>
          </w14:textFill>
        </w:rPr>
        <w:t>排查整治安全生产隐患23</w:t>
      </w:r>
      <w:r>
        <w:rPr>
          <w:rFonts w:hint="eastAsia" w:ascii="仿宋_GB2312" w:hAnsi="仿宋_GB2312" w:eastAsia="仿宋_GB2312" w:cs="仿宋_GB2312"/>
          <w:color w:val="000000" w:themeColor="text1"/>
          <w:sz w:val="32"/>
          <w:szCs w:val="32"/>
          <w:u w:val="none" w:color="auto"/>
          <w:lang w:val="en-US" w:eastAsia="zh-CN"/>
          <w14:textFill>
            <w14:solidFill>
              <w14:schemeClr w14:val="tx1"/>
            </w14:solidFill>
          </w14:textFill>
        </w:rPr>
        <w:t>00余</w:t>
      </w:r>
      <w:r>
        <w:rPr>
          <w:rFonts w:hint="eastAsia" w:ascii="仿宋_GB2312" w:hAnsi="仿宋_GB2312" w:eastAsia="仿宋_GB2312" w:cs="仿宋_GB2312"/>
          <w:color w:val="000000" w:themeColor="text1"/>
          <w:sz w:val="32"/>
          <w:szCs w:val="32"/>
          <w:u w:val="none" w:color="auto"/>
          <w:lang w:eastAsia="zh-CN"/>
          <w14:textFill>
            <w14:solidFill>
              <w14:schemeClr w14:val="tx1"/>
            </w14:solidFill>
          </w14:textFill>
        </w:rPr>
        <w:t>处，</w:t>
      </w:r>
      <w:r>
        <w:rPr>
          <w:rFonts w:hint="eastAsia" w:ascii="仿宋_GB2312" w:hAnsi="仿宋_GB2312" w:eastAsia="仿宋_GB2312" w:cs="仿宋_GB2312"/>
          <w:color w:val="000000" w:themeColor="text1"/>
          <w:sz w:val="32"/>
          <w:szCs w:val="32"/>
          <w:u w:val="none" w:color="auto"/>
          <w:lang w:val="en-US" w:eastAsia="zh-CN"/>
          <w14:textFill>
            <w14:solidFill>
              <w14:schemeClr w14:val="tx1"/>
            </w14:solidFill>
          </w14:textFill>
        </w:rPr>
        <w:t>新建气象观测站9个，</w:t>
      </w:r>
      <w:r>
        <w:rPr>
          <w:rFonts w:hint="eastAsia" w:ascii="仿宋_GB2312" w:hAnsi="仿宋_GB2312" w:eastAsia="仿宋_GB2312" w:cs="仿宋_GB2312"/>
          <w:color w:val="000000" w:themeColor="text1"/>
          <w:sz w:val="32"/>
          <w:szCs w:val="32"/>
          <w:u w:val="none" w:color="auto"/>
          <w:lang w:eastAsia="zh-CN"/>
          <w14:textFill>
            <w14:solidFill>
              <w14:schemeClr w14:val="tx1"/>
            </w14:solidFill>
          </w14:textFill>
        </w:rPr>
        <w:t>稳妥处置泥石流、塌方等自然灾害,县消防大队荣获国家级“先进政府专职消防队”称号。</w:t>
      </w:r>
      <w:r>
        <w:rPr>
          <w:rFonts w:hint="eastAsia" w:ascii="仿宋_GB2312" w:hAnsi="仿宋_GB2312" w:eastAsia="仿宋_GB2312" w:cs="仿宋_GB2312"/>
          <w:b w:val="0"/>
          <w:bCs w:val="0"/>
          <w:color w:val="000000" w:themeColor="text1"/>
          <w:sz w:val="32"/>
          <w:szCs w:val="32"/>
          <w:u w:val="none" w:color="auto"/>
          <w14:textFill>
            <w14:solidFill>
              <w14:schemeClr w14:val="tx1"/>
            </w14:solidFill>
          </w14:textFill>
        </w:rPr>
        <w:t>依法管理宗教事务</w:t>
      </w:r>
      <w:r>
        <w:rPr>
          <w:rFonts w:hint="eastAsia" w:ascii="仿宋_GB2312" w:hAnsi="仿宋_GB2312" w:eastAsia="仿宋_GB2312" w:cs="仿宋_GB2312"/>
          <w:b w:val="0"/>
          <w:bCs w:val="0"/>
          <w:color w:val="000000" w:themeColor="text1"/>
          <w:sz w:val="32"/>
          <w:szCs w:val="32"/>
          <w:u w:val="none" w:color="auto"/>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u w:val="none" w:color="auto"/>
          <w:lang w:val="en-US" w:eastAsia="zh-CN"/>
          <w14:textFill>
            <w14:solidFill>
              <w14:schemeClr w14:val="tx1"/>
            </w14:solidFill>
          </w14:textFill>
        </w:rPr>
        <w:t>深入</w:t>
      </w:r>
      <w:r>
        <w:rPr>
          <w:rFonts w:hint="eastAsia" w:ascii="仿宋_GB2312" w:hAnsi="仿宋_GB2312" w:eastAsia="仿宋_GB2312" w:cs="仿宋_GB2312"/>
          <w:color w:val="000000" w:themeColor="text1"/>
          <w:sz w:val="32"/>
          <w:szCs w:val="32"/>
          <w:u w:val="none" w:color="auto"/>
          <w:lang w:eastAsia="zh-CN"/>
          <w14:textFill>
            <w14:solidFill>
              <w14:schemeClr w14:val="tx1"/>
            </w14:solidFill>
          </w14:textFill>
        </w:rPr>
        <w:t>开展宗教领域“三个意识”宣传教育，建成民族团结进步模范宗教活动场所14个</w:t>
      </w:r>
      <w:r>
        <w:rPr>
          <w:rFonts w:hint="eastAsia" w:ascii="仿宋_GB2312" w:hAnsi="仿宋_GB2312" w:eastAsia="仿宋_GB2312" w:cs="仿宋_GB2312"/>
          <w:color w:val="000000" w:themeColor="text1"/>
          <w:sz w:val="32"/>
          <w:szCs w:val="32"/>
          <w:u w:val="none" w:color="auto"/>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u w:val="none" w:color="auto"/>
          <w14:textFill>
            <w14:solidFill>
              <w14:schemeClr w14:val="tx1"/>
            </w14:solidFill>
          </w14:textFill>
        </w:rPr>
        <w:t>创新基层社会治理，</w:t>
      </w:r>
      <w:r>
        <w:rPr>
          <w:rFonts w:hint="eastAsia" w:ascii="仿宋_GB2312" w:hAnsi="仿宋_GB2312" w:eastAsia="仿宋_GB2312" w:cs="仿宋_GB2312"/>
          <w:b w:val="0"/>
          <w:bCs w:val="0"/>
          <w:color w:val="000000" w:themeColor="text1"/>
          <w:sz w:val="32"/>
          <w:szCs w:val="32"/>
          <w:u w:val="none" w:color="auto"/>
          <w:lang w:val="en-US" w:eastAsia="zh-CN"/>
          <w14:textFill>
            <w14:solidFill>
              <w14:schemeClr w14:val="tx1"/>
            </w14:solidFill>
          </w14:textFill>
        </w:rPr>
        <w:t>合理</w:t>
      </w:r>
      <w:r>
        <w:rPr>
          <w:rFonts w:hint="eastAsia" w:ascii="仿宋_GB2312" w:hAnsi="仿宋_GB2312" w:eastAsia="仿宋_GB2312" w:cs="仿宋_GB2312"/>
          <w:color w:val="000000" w:themeColor="text1"/>
          <w:sz w:val="32"/>
          <w:szCs w:val="32"/>
          <w:u w:val="none" w:color="auto"/>
          <w:lang w:val="en-US" w:eastAsia="zh-CN"/>
          <w14:textFill>
            <w14:solidFill>
              <w14:schemeClr w14:val="tx1"/>
            </w14:solidFill>
          </w14:textFill>
        </w:rPr>
        <w:t>划分网格120个，配齐配强网格员1421名，14个乡（镇）“一站式”矛盾纠纷调解中心挂牌成立。</w:t>
      </w:r>
    </w:p>
    <w:p w14:paraId="6BDA76D5">
      <w:pPr>
        <w:keepNext w:val="0"/>
        <w:keepLines w:val="0"/>
        <w:pageBreakBefore w:val="0"/>
        <w:kinsoku/>
        <w:wordWrap/>
        <w:autoSpaceDE/>
        <w:autoSpaceDN/>
        <w:bidi w:val="0"/>
        <w:snapToGrid w:val="0"/>
        <w:spacing w:line="560" w:lineRule="exact"/>
        <w:ind w:firstLine="643" w:firstLineChars="200"/>
        <w:textAlignment w:val="auto"/>
        <w:rPr>
          <w:rFonts w:hint="default" w:ascii="仿宋_GB2312" w:hAnsi="仿宋_GB2312" w:eastAsia="仿宋_GB2312" w:cs="仿宋_GB2312"/>
          <w:color w:val="000000" w:themeColor="text1"/>
          <w:sz w:val="32"/>
          <w:szCs w:val="32"/>
          <w:u w:val="none" w:color="auto"/>
          <w:lang w:val="en-US"/>
          <w14:textFill>
            <w14:solidFill>
              <w14:schemeClr w14:val="tx1"/>
            </w14:solidFill>
          </w14:textFill>
        </w:rPr>
      </w:pPr>
      <w:r>
        <w:rPr>
          <w:rFonts w:hint="eastAsia" w:ascii="楷体_GB2312" w:hAnsi="楷体_GB2312" w:eastAsia="楷体_GB2312" w:cs="楷体_GB2312"/>
          <w:b/>
          <w:bCs/>
          <w:color w:val="000000" w:themeColor="text1"/>
          <w:sz w:val="32"/>
          <w:szCs w:val="32"/>
          <w:u w:val="none" w:color="auto"/>
          <w:lang w:val="en-US" w:eastAsia="zh-CN"/>
          <w14:textFill>
            <w14:solidFill>
              <w14:schemeClr w14:val="tx1"/>
            </w14:solidFill>
          </w14:textFill>
        </w:rPr>
        <w:t>项目建设实现</w:t>
      </w:r>
      <w:r>
        <w:rPr>
          <w:rFonts w:hint="eastAsia" w:ascii="楷体_GB2312" w:hAnsi="楷体_GB2312" w:eastAsia="楷体_GB2312" w:cs="楷体_GB2312"/>
          <w:b/>
          <w:bCs/>
          <w:color w:val="000000" w:themeColor="text1"/>
          <w:sz w:val="32"/>
          <w:szCs w:val="32"/>
          <w:u w:val="none" w:color="auto"/>
          <w14:textFill>
            <w14:solidFill>
              <w14:schemeClr w14:val="tx1"/>
            </w14:solidFill>
          </w14:textFill>
        </w:rPr>
        <w:t>量</w:t>
      </w:r>
      <w:r>
        <w:rPr>
          <w:rFonts w:hint="eastAsia" w:ascii="楷体_GB2312" w:hAnsi="楷体_GB2312" w:eastAsia="楷体_GB2312" w:cs="楷体_GB2312"/>
          <w:b/>
          <w:bCs/>
          <w:color w:val="000000" w:themeColor="text1"/>
          <w:sz w:val="32"/>
          <w:szCs w:val="32"/>
          <w:u w:val="none" w:color="auto"/>
          <w:lang w:val="en-US" w:eastAsia="zh-CN"/>
          <w14:textFill>
            <w14:solidFill>
              <w14:schemeClr w14:val="tx1"/>
            </w14:solidFill>
          </w14:textFill>
        </w:rPr>
        <w:t>效</w:t>
      </w:r>
      <w:r>
        <w:rPr>
          <w:rFonts w:hint="eastAsia" w:ascii="楷体_GB2312" w:hAnsi="楷体_GB2312" w:eastAsia="楷体_GB2312" w:cs="楷体_GB2312"/>
          <w:b/>
          <w:bCs/>
          <w:color w:val="000000" w:themeColor="text1"/>
          <w:sz w:val="32"/>
          <w:szCs w:val="32"/>
          <w:u w:val="none" w:color="auto"/>
          <w14:textFill>
            <w14:solidFill>
              <w14:schemeClr w14:val="tx1"/>
            </w14:solidFill>
          </w14:textFill>
        </w:rPr>
        <w:t>齐升</w:t>
      </w:r>
      <w:r>
        <w:rPr>
          <w:rFonts w:hint="eastAsia" w:ascii="楷体_GB2312" w:hAnsi="楷体_GB2312" w:eastAsia="楷体_GB2312" w:cs="楷体_GB2312"/>
          <w:b/>
          <w:bCs/>
          <w:color w:val="000000" w:themeColor="text1"/>
          <w:sz w:val="32"/>
          <w:szCs w:val="32"/>
          <w:u w:val="none" w:color="auto"/>
          <w:lang w:eastAsia="zh-CN"/>
          <w14:textFill>
            <w14:solidFill>
              <w14:schemeClr w14:val="tx1"/>
            </w14:solidFill>
          </w14:textFill>
        </w:rPr>
        <w:t>。</w:t>
      </w:r>
      <w:r>
        <w:rPr>
          <w:rFonts w:hint="eastAsia" w:ascii="仿宋_GB2312" w:hAnsi="仿宋_GB2312" w:eastAsia="仿宋_GB2312" w:cs="仿宋_GB2312"/>
          <w:color w:val="000000" w:themeColor="text1"/>
          <w:sz w:val="32"/>
          <w:szCs w:val="32"/>
          <w:u w:val="none" w:color="auto"/>
          <w:lang w:val="en-US" w:eastAsia="zh-CN"/>
          <w14:textFill>
            <w14:solidFill>
              <w14:schemeClr w14:val="tx1"/>
            </w14:solidFill>
          </w14:textFill>
        </w:rPr>
        <w:t>进一步规范项目审批流程和400万以下基本建设项目招投标工作，组建乡（镇）项目建设“五人小组”和</w:t>
      </w:r>
      <w:r>
        <w:rPr>
          <w:rFonts w:hint="eastAsia" w:ascii="仿宋_GB2312" w:hAnsi="仿宋_GB2312" w:eastAsia="仿宋_GB2312" w:cs="仿宋_GB2312"/>
          <w:color w:val="000000" w:themeColor="text1"/>
          <w:sz w:val="32"/>
          <w:szCs w:val="32"/>
          <w:u w:val="none" w:color="auto"/>
          <w14:textFill>
            <w14:solidFill>
              <w14:schemeClr w14:val="tx1"/>
            </w14:solidFill>
          </w14:textFill>
        </w:rPr>
        <w:t>重大项目协调服务专班。2024年</w:t>
      </w:r>
      <w:r>
        <w:rPr>
          <w:rFonts w:hint="eastAsia" w:ascii="仿宋_GB2312" w:hAnsi="仿宋_GB2312" w:eastAsia="仿宋_GB2312" w:cs="仿宋_GB2312"/>
          <w:color w:val="000000" w:themeColor="text1"/>
          <w:sz w:val="32"/>
          <w:szCs w:val="32"/>
          <w:u w:val="none" w:color="auto"/>
          <w:lang w:val="en-US" w:eastAsia="zh-CN"/>
          <w14:textFill>
            <w14:solidFill>
              <w14:schemeClr w14:val="tx1"/>
            </w14:solidFill>
          </w14:textFill>
        </w:rPr>
        <w:t>实施基本建设项目120个，</w:t>
      </w:r>
      <w:r>
        <w:rPr>
          <w:rFonts w:hint="eastAsia" w:ascii="仿宋_GB2312" w:hAnsi="仿宋_GB2312" w:eastAsia="仿宋_GB2312" w:cs="仿宋_GB2312"/>
          <w:color w:val="000000" w:themeColor="text1"/>
          <w:sz w:val="32"/>
          <w:szCs w:val="32"/>
          <w:u w:val="none" w:color="auto"/>
          <w14:textFill>
            <w14:solidFill>
              <w14:schemeClr w14:val="tx1"/>
            </w14:solidFill>
          </w14:textFill>
        </w:rPr>
        <w:t>完成投资6.</w:t>
      </w:r>
      <w:r>
        <w:rPr>
          <w:rFonts w:hint="eastAsia" w:ascii="仿宋_GB2312" w:hAnsi="仿宋_GB2312" w:eastAsia="仿宋_GB2312" w:cs="仿宋_GB2312"/>
          <w:color w:val="000000" w:themeColor="text1"/>
          <w:sz w:val="32"/>
          <w:szCs w:val="32"/>
          <w:u w:val="none" w:color="auto"/>
          <w:lang w:val="en-US" w:eastAsia="zh-CN"/>
          <w14:textFill>
            <w14:solidFill>
              <w14:schemeClr w14:val="tx1"/>
            </w14:solidFill>
          </w14:textFill>
        </w:rPr>
        <w:t>31</w:t>
      </w:r>
      <w:r>
        <w:rPr>
          <w:rFonts w:hint="eastAsia" w:ascii="仿宋_GB2312" w:hAnsi="仿宋_GB2312" w:eastAsia="仿宋_GB2312" w:cs="仿宋_GB2312"/>
          <w:color w:val="000000" w:themeColor="text1"/>
          <w:sz w:val="32"/>
          <w:szCs w:val="32"/>
          <w:u w:val="none" w:color="auto"/>
          <w14:textFill>
            <w14:solidFill>
              <w14:schemeClr w14:val="tx1"/>
            </w14:solidFill>
          </w14:textFill>
        </w:rPr>
        <w:t>亿元</w:t>
      </w:r>
      <w:r>
        <w:rPr>
          <w:rFonts w:hint="eastAsia" w:ascii="仿宋_GB2312" w:hAnsi="仿宋_GB2312" w:eastAsia="仿宋_GB2312" w:cs="仿宋_GB2312"/>
          <w:color w:val="000000" w:themeColor="text1"/>
          <w:sz w:val="32"/>
          <w:szCs w:val="32"/>
          <w:u w:val="none" w:color="auto"/>
          <w:lang w:val="en-US" w:eastAsia="zh-CN"/>
          <w14:textFill>
            <w14:solidFill>
              <w14:schemeClr w14:val="tx1"/>
            </w14:solidFill>
          </w14:textFill>
        </w:rPr>
        <w:t>，完工87个。精心谋划储备项目353个，计划总投资208.40亿元。</w:t>
      </w:r>
      <w:r>
        <w:rPr>
          <w:rFonts w:hint="eastAsia" w:ascii="仿宋_GB2312" w:hAnsi="仿宋_GB2312" w:eastAsia="仿宋_GB2312" w:cs="仿宋_GB2312"/>
          <w:color w:val="000000" w:themeColor="text1"/>
          <w:sz w:val="32"/>
          <w:szCs w:val="32"/>
          <w:u w:val="none" w:color="auto"/>
          <w14:textFill>
            <w14:solidFill>
              <w14:schemeClr w14:val="tx1"/>
            </w14:solidFill>
          </w14:textFill>
        </w:rPr>
        <w:t>川藏铁路（八宿段）</w:t>
      </w:r>
      <w:r>
        <w:rPr>
          <w:rFonts w:hint="eastAsia" w:ascii="仿宋_GB2312" w:hAnsi="仿宋_GB2312" w:eastAsia="仿宋_GB2312" w:cs="仿宋_GB2312"/>
          <w:color w:val="000000" w:themeColor="text1"/>
          <w:sz w:val="32"/>
          <w:szCs w:val="32"/>
          <w:u w:val="none" w:color="auto"/>
          <w:lang w:eastAsia="zh-CN"/>
          <w14:textFill>
            <w14:solidFill>
              <w14:schemeClr w14:val="tx1"/>
            </w14:solidFill>
          </w14:textFill>
        </w:rPr>
        <w:t>、</w:t>
      </w:r>
      <w:r>
        <w:rPr>
          <w:rFonts w:hint="eastAsia" w:ascii="仿宋_GB2312" w:hAnsi="仿宋_GB2312" w:eastAsia="仿宋_GB2312" w:cs="仿宋_GB2312"/>
          <w:color w:val="000000" w:themeColor="text1"/>
          <w:sz w:val="32"/>
          <w:szCs w:val="32"/>
          <w:u w:val="none" w:color="auto"/>
          <w14:textFill>
            <w14:solidFill>
              <w14:schemeClr w14:val="tx1"/>
            </w14:solidFill>
          </w14:textFill>
        </w:rPr>
        <w:t>弄利措水库</w:t>
      </w:r>
      <w:r>
        <w:rPr>
          <w:rFonts w:hint="eastAsia" w:ascii="仿宋_GB2312" w:hAnsi="仿宋_GB2312" w:eastAsia="仿宋_GB2312" w:cs="仿宋_GB2312"/>
          <w:color w:val="000000" w:themeColor="text1"/>
          <w:sz w:val="32"/>
          <w:szCs w:val="32"/>
          <w:u w:val="none" w:color="auto"/>
          <w:lang w:eastAsia="zh-CN"/>
          <w14:textFill>
            <w14:solidFill>
              <w14:schemeClr w14:val="tx1"/>
            </w14:solidFill>
          </w14:textFill>
        </w:rPr>
        <w:t>、国道</w:t>
      </w:r>
      <w:r>
        <w:rPr>
          <w:rFonts w:hint="eastAsia" w:ascii="仿宋_GB2312" w:hAnsi="仿宋_GB2312" w:eastAsia="仿宋_GB2312" w:cs="仿宋_GB2312"/>
          <w:color w:val="000000" w:themeColor="text1"/>
          <w:sz w:val="32"/>
          <w:szCs w:val="32"/>
          <w:u w:val="none" w:color="auto"/>
          <w14:textFill>
            <w14:solidFill>
              <w14:schemeClr w14:val="tx1"/>
            </w14:solidFill>
          </w14:textFill>
        </w:rPr>
        <w:t>318线提质改造等重点项目</w:t>
      </w:r>
      <w:r>
        <w:rPr>
          <w:rFonts w:hint="eastAsia" w:ascii="仿宋_GB2312" w:hAnsi="仿宋_GB2312" w:eastAsia="仿宋_GB2312" w:cs="仿宋_GB2312"/>
          <w:color w:val="000000" w:themeColor="text1"/>
          <w:sz w:val="32"/>
          <w:szCs w:val="32"/>
          <w:u w:val="none" w:color="auto"/>
          <w:lang w:val="en-US" w:eastAsia="zh-CN"/>
          <w14:textFill>
            <w14:solidFill>
              <w14:schemeClr w14:val="tx1"/>
            </w14:solidFill>
          </w14:textFill>
        </w:rPr>
        <w:t>进展顺利。</w:t>
      </w:r>
    </w:p>
    <w:p w14:paraId="4F919E9D">
      <w:pPr>
        <w:keepNext w:val="0"/>
        <w:keepLines w:val="0"/>
        <w:pageBreakBefore w:val="0"/>
        <w:kinsoku/>
        <w:wordWrap/>
        <w:autoSpaceDE/>
        <w:autoSpaceDN/>
        <w:bidi w:val="0"/>
        <w:spacing w:line="560" w:lineRule="exact"/>
        <w:ind w:firstLine="643" w:firstLineChars="200"/>
        <w:textAlignment w:val="auto"/>
        <w:rPr>
          <w:rFonts w:hint="eastAsia" w:ascii="仿宋_GB2312" w:hAnsi="仿宋_GB2312" w:eastAsia="仿宋_GB2312" w:cs="仿宋_GB2312"/>
          <w:b w:val="0"/>
          <w:bCs w:val="0"/>
          <w:color w:val="000000" w:themeColor="text1"/>
          <w:sz w:val="32"/>
          <w:szCs w:val="32"/>
          <w:u w:val="none" w:color="auto"/>
          <w:lang w:eastAsia="zh-CN"/>
          <w14:textFill>
            <w14:solidFill>
              <w14:schemeClr w14:val="tx1"/>
            </w14:solidFill>
          </w14:textFill>
        </w:rPr>
      </w:pPr>
      <w:r>
        <w:rPr>
          <w:rFonts w:hint="eastAsia" w:ascii="楷体_GB2312" w:hAnsi="楷体_GB2312" w:eastAsia="楷体_GB2312" w:cs="楷体_GB2312"/>
          <w:b/>
          <w:bCs/>
          <w:color w:val="000000" w:themeColor="text1"/>
          <w:sz w:val="32"/>
          <w:szCs w:val="32"/>
          <w:u w:val="none" w:color="auto"/>
          <w:lang w:val="en-US" w:eastAsia="zh-CN"/>
          <w14:textFill>
            <w14:solidFill>
              <w14:schemeClr w14:val="tx1"/>
            </w14:solidFill>
          </w14:textFill>
        </w:rPr>
        <w:t>产业发展实现</w:t>
      </w:r>
      <w:r>
        <w:rPr>
          <w:rFonts w:hint="eastAsia" w:ascii="楷体_GB2312" w:hAnsi="楷体_GB2312" w:eastAsia="楷体_GB2312" w:cs="楷体_GB2312"/>
          <w:b/>
          <w:bCs/>
          <w:color w:val="000000" w:themeColor="text1"/>
          <w:sz w:val="32"/>
          <w:szCs w:val="32"/>
          <w:u w:val="none" w:color="auto"/>
          <w14:textFill>
            <w14:solidFill>
              <w14:schemeClr w14:val="tx1"/>
            </w14:solidFill>
          </w14:textFill>
        </w:rPr>
        <w:t>提质增效。</w:t>
      </w:r>
      <w:r>
        <w:rPr>
          <w:rFonts w:hint="eastAsia" w:ascii="仿宋_GB2312" w:hAnsi="仿宋_GB2312" w:eastAsia="仿宋_GB2312" w:cs="仿宋_GB2312"/>
          <w:b/>
          <w:bCs/>
          <w:color w:val="000000" w:themeColor="text1"/>
          <w:sz w:val="32"/>
          <w:szCs w:val="32"/>
          <w:u w:val="none" w:color="auto"/>
          <w:lang w:val="en-US" w:eastAsia="zh-CN"/>
          <w14:textFill>
            <w14:solidFill>
              <w14:schemeClr w14:val="tx1"/>
            </w14:solidFill>
          </w14:textFill>
        </w:rPr>
        <w:t>现代农牧业</w:t>
      </w:r>
      <w:r>
        <w:rPr>
          <w:rFonts w:hint="eastAsia" w:ascii="仿宋_GB2312" w:hAnsi="仿宋_GB2312" w:eastAsia="仿宋_GB2312" w:cs="仿宋_GB2312"/>
          <w:b/>
          <w:bCs/>
          <w:color w:val="000000" w:themeColor="text1"/>
          <w:sz w:val="32"/>
          <w:szCs w:val="32"/>
          <w:u w:val="none" w:color="auto"/>
          <w14:textFill>
            <w14:solidFill>
              <w14:schemeClr w14:val="tx1"/>
            </w14:solidFill>
          </w14:textFill>
        </w:rPr>
        <w:t>稳步提升</w:t>
      </w:r>
      <w:r>
        <w:rPr>
          <w:rFonts w:hint="eastAsia" w:ascii="仿宋_GB2312" w:hAnsi="仿宋_GB2312" w:eastAsia="仿宋_GB2312" w:cs="仿宋_GB2312"/>
          <w:b/>
          <w:bCs/>
          <w:color w:val="000000" w:themeColor="text1"/>
          <w:sz w:val="32"/>
          <w:szCs w:val="32"/>
          <w:u w:val="none" w:color="auto"/>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u w:val="none" w:color="auto"/>
          <w:lang w:val="en-US" w:eastAsia="zh-CN"/>
          <w14:textFill>
            <w14:solidFill>
              <w14:schemeClr w14:val="tx1"/>
            </w14:solidFill>
          </w14:textFill>
        </w:rPr>
        <w:t>建成高标准农田4.29万亩，完成撂荒地复耕复种1345.96</w:t>
      </w:r>
      <w:r>
        <w:rPr>
          <w:rFonts w:hint="eastAsia" w:ascii="仿宋_GB2312" w:hAnsi="仿宋_GB2312" w:eastAsia="仿宋_GB2312" w:cs="仿宋_GB2312"/>
          <w:color w:val="000000" w:themeColor="text1"/>
          <w:sz w:val="32"/>
          <w:szCs w:val="32"/>
          <w:u w:val="none" w:color="auto"/>
          <w:lang w:val="en-US" w:eastAsia="zh-CN"/>
          <w14:textFill>
            <w14:solidFill>
              <w14:schemeClr w14:val="tx1"/>
            </w14:solidFill>
          </w14:textFill>
        </w:rPr>
        <w:t>亩，粮食产量稳定在1.19万吨。</w:t>
      </w:r>
      <w:r>
        <w:rPr>
          <w:rFonts w:hint="eastAsia" w:ascii="仿宋_GB2312" w:hAnsi="仿宋_GB2312" w:eastAsia="仿宋_GB2312" w:cs="仿宋_GB2312"/>
          <w:b w:val="0"/>
          <w:bCs w:val="0"/>
          <w:color w:val="000000" w:themeColor="text1"/>
          <w:sz w:val="32"/>
          <w:szCs w:val="32"/>
          <w:u w:val="none" w:color="auto"/>
          <w:lang w:val="en-US" w:eastAsia="zh-CN"/>
          <w14:textFill>
            <w14:solidFill>
              <w14:schemeClr w14:val="tx1"/>
            </w14:solidFill>
          </w14:textFill>
        </w:rPr>
        <w:t>积极推进藏香猪饲料研发，建立藏香猪网络认养平台。实施植物工厂二期、娟姗奶牛示范养殖村等项目。全年牲畜出栏7443头，产值5900余万元。全县</w:t>
      </w:r>
      <w:r>
        <w:rPr>
          <w:rFonts w:hint="eastAsia" w:ascii="仿宋_GB2312" w:hAnsi="仿宋_GB2312" w:eastAsia="仿宋_GB2312" w:cs="仿宋_GB2312"/>
          <w:color w:val="000000" w:themeColor="text1"/>
          <w:sz w:val="32"/>
          <w:szCs w:val="32"/>
          <w:u w:val="none" w:color="auto"/>
          <w:lang w:val="en-US" w:eastAsia="zh-CN"/>
          <w14:textFill>
            <w14:solidFill>
              <w14:schemeClr w14:val="tx1"/>
            </w14:solidFill>
          </w14:textFill>
        </w:rPr>
        <w:t>经济林产值约1</w:t>
      </w:r>
      <w:r>
        <w:rPr>
          <w:rFonts w:hint="eastAsia" w:ascii="仿宋_GB2312" w:hAnsi="仿宋_GB2312" w:eastAsia="仿宋_GB2312" w:cs="仿宋_GB2312"/>
          <w:b w:val="0"/>
          <w:bCs w:val="0"/>
          <w:color w:val="000000" w:themeColor="text1"/>
          <w:sz w:val="32"/>
          <w:szCs w:val="32"/>
          <w:u w:val="none" w:color="auto"/>
          <w:lang w:val="en-US" w:eastAsia="zh-CN"/>
          <w14:textFill>
            <w14:solidFill>
              <w14:schemeClr w14:val="tx1"/>
            </w14:solidFill>
          </w14:textFill>
        </w:rPr>
        <w:t>100万元。八宿荞麦绿色产品认证通过农业农村部评审。</w:t>
      </w:r>
      <w:r>
        <w:rPr>
          <w:rFonts w:hint="eastAsia" w:ascii="仿宋_GB2312" w:hAnsi="仿宋_GB2312" w:eastAsia="仿宋_GB2312" w:cs="仿宋_GB2312"/>
          <w:b/>
          <w:bCs/>
          <w:color w:val="000000" w:themeColor="text1"/>
          <w:sz w:val="32"/>
          <w:szCs w:val="32"/>
          <w:u w:val="none" w:color="auto"/>
          <w:lang w:val="en-US" w:eastAsia="zh-CN"/>
          <w14:textFill>
            <w14:solidFill>
              <w14:schemeClr w14:val="tx1"/>
            </w14:solidFill>
          </w14:textFill>
        </w:rPr>
        <w:t>清洁能源加速发展。</w:t>
      </w:r>
      <w:r>
        <w:rPr>
          <w:rFonts w:hint="eastAsia" w:ascii="仿宋_GB2312" w:hAnsi="仿宋_GB2312" w:eastAsia="仿宋_GB2312" w:cs="仿宋_GB2312"/>
          <w:color w:val="000000" w:themeColor="text1"/>
          <w:sz w:val="32"/>
          <w:szCs w:val="32"/>
          <w:u w:val="none" w:color="auto"/>
          <w14:textFill>
            <w14:solidFill>
              <w14:schemeClr w14:val="tx1"/>
            </w14:solidFill>
          </w14:textFill>
        </w:rPr>
        <w:t>世界海拔最高风电基地——大唐八宿10万千瓦风电项目并网投产</w:t>
      </w:r>
      <w:r>
        <w:rPr>
          <w:rFonts w:hint="eastAsia" w:ascii="仿宋_GB2312" w:hAnsi="仿宋_GB2312" w:eastAsia="仿宋_GB2312" w:cs="仿宋_GB2312"/>
          <w:color w:val="000000" w:themeColor="text1"/>
          <w:sz w:val="32"/>
          <w:szCs w:val="32"/>
          <w:u w:val="none" w:color="auto"/>
          <w:lang w:eastAsia="zh-CN"/>
          <w14:textFill>
            <w14:solidFill>
              <w14:schemeClr w14:val="tx1"/>
            </w14:solidFill>
          </w14:textFill>
        </w:rPr>
        <w:t>，</w:t>
      </w:r>
      <w:r>
        <w:rPr>
          <w:rFonts w:hint="eastAsia" w:ascii="仿宋_GB2312" w:hAnsi="仿宋_GB2312" w:eastAsia="仿宋_GB2312" w:cs="仿宋_GB2312"/>
          <w:color w:val="000000" w:themeColor="text1"/>
          <w:sz w:val="32"/>
          <w:szCs w:val="32"/>
          <w:u w:val="none" w:color="auto"/>
          <w14:textFill>
            <w14:solidFill>
              <w14:schemeClr w14:val="tx1"/>
            </w14:solidFill>
          </w14:textFill>
        </w:rPr>
        <w:t>卡瓦白庆乡抽水蓄能电站项目前期</w:t>
      </w:r>
      <w:r>
        <w:rPr>
          <w:rFonts w:hint="eastAsia" w:ascii="仿宋_GB2312" w:hAnsi="仿宋_GB2312" w:eastAsia="仿宋_GB2312" w:cs="仿宋_GB2312"/>
          <w:color w:val="000000" w:themeColor="text1"/>
          <w:sz w:val="32"/>
          <w:szCs w:val="32"/>
          <w:u w:val="none" w:color="auto"/>
          <w:lang w:val="en-US" w:eastAsia="zh-CN"/>
          <w14:textFill>
            <w14:solidFill>
              <w14:schemeClr w14:val="tx1"/>
            </w14:solidFill>
          </w14:textFill>
        </w:rPr>
        <w:t>工作</w:t>
      </w:r>
      <w:r>
        <w:rPr>
          <w:rFonts w:hint="eastAsia" w:ascii="仿宋_GB2312" w:hAnsi="仿宋_GB2312" w:eastAsia="仿宋_GB2312" w:cs="仿宋_GB2312"/>
          <w:color w:val="000000" w:themeColor="text1"/>
          <w:sz w:val="32"/>
          <w:szCs w:val="32"/>
          <w:u w:val="none" w:color="auto"/>
          <w14:textFill>
            <w14:solidFill>
              <w14:schemeClr w14:val="tx1"/>
            </w14:solidFill>
          </w14:textFill>
        </w:rPr>
        <w:t>取得实质进展</w:t>
      </w:r>
      <w:r>
        <w:rPr>
          <w:rFonts w:hint="eastAsia" w:ascii="仿宋_GB2312" w:hAnsi="仿宋_GB2312" w:eastAsia="仿宋_GB2312" w:cs="仿宋_GB2312"/>
          <w:color w:val="000000" w:themeColor="text1"/>
          <w:sz w:val="32"/>
          <w:szCs w:val="32"/>
          <w:u w:val="none" w:color="auto"/>
          <w:lang w:eastAsia="zh-CN"/>
          <w14:textFill>
            <w14:solidFill>
              <w14:schemeClr w14:val="tx1"/>
            </w14:solidFill>
          </w14:textFill>
        </w:rPr>
        <w:t>，</w:t>
      </w:r>
      <w:r>
        <w:rPr>
          <w:rFonts w:hint="eastAsia" w:ascii="仿宋_GB2312" w:hAnsi="仿宋_GB2312" w:eastAsia="仿宋_GB2312" w:cs="仿宋_GB2312"/>
          <w:color w:val="000000" w:themeColor="text1"/>
          <w:sz w:val="32"/>
          <w:szCs w:val="32"/>
          <w:u w:val="none" w:color="auto"/>
          <w:lang w:val="en-US" w:eastAsia="zh-CN"/>
          <w14:textFill>
            <w14:solidFill>
              <w14:schemeClr w14:val="tx1"/>
            </w14:solidFill>
          </w14:textFill>
        </w:rPr>
        <w:t>全县清洁能源年发电量达2.56亿千瓦时，同比增长23.17%。</w:t>
      </w:r>
      <w:r>
        <w:rPr>
          <w:rFonts w:hint="eastAsia" w:ascii="仿宋_GB2312" w:hAnsi="仿宋_GB2312" w:eastAsia="仿宋_GB2312" w:cs="仿宋_GB2312"/>
          <w:b/>
          <w:bCs/>
          <w:color w:val="000000" w:themeColor="text1"/>
          <w:sz w:val="32"/>
          <w:szCs w:val="32"/>
          <w:u w:val="none" w:color="auto"/>
          <w:lang w:val="en-US" w:eastAsia="zh-CN"/>
          <w14:textFill>
            <w14:solidFill>
              <w14:schemeClr w14:val="tx1"/>
            </w14:solidFill>
          </w14:textFill>
        </w:rPr>
        <w:t>绿色工业扩面提级。</w:t>
      </w:r>
      <w:r>
        <w:rPr>
          <w:rFonts w:hint="eastAsia" w:ascii="仿宋_GB2312" w:hAnsi="仿宋_GB2312" w:eastAsia="仿宋_GB2312" w:cs="仿宋_GB2312"/>
          <w:color w:val="000000" w:themeColor="text1"/>
          <w:sz w:val="32"/>
          <w:szCs w:val="32"/>
          <w:u w:val="none" w:color="auto"/>
          <w:lang w:val="en-US" w:eastAsia="zh-CN"/>
          <w14:textFill>
            <w14:solidFill>
              <w14:schemeClr w14:val="tx1"/>
            </w14:solidFill>
          </w14:textFill>
        </w:rPr>
        <w:t>八宿海螺水泥销售产品211.09万吨，实现产值9.55亿元，同比增长18.79%，光伏制氧项目建成投用，生活垃圾综合处置项目落地实施，八宿海螺现代化示范园区方案启动编制。</w:t>
      </w:r>
      <w:r>
        <w:rPr>
          <w:rFonts w:hint="eastAsia" w:ascii="仿宋_GB2312" w:hAnsi="仿宋_GB2312" w:eastAsia="仿宋_GB2312" w:cs="仿宋_GB2312"/>
          <w:b/>
          <w:bCs/>
          <w:color w:val="000000" w:themeColor="text1"/>
          <w:sz w:val="32"/>
          <w:szCs w:val="32"/>
          <w:u w:val="none" w:color="auto"/>
          <w:lang w:val="en-US" w:eastAsia="zh-CN"/>
          <w14:textFill>
            <w14:solidFill>
              <w14:schemeClr w14:val="tx1"/>
            </w14:solidFill>
          </w14:textFill>
        </w:rPr>
        <w:t>商贸物流产业初具规模。</w:t>
      </w:r>
      <w:r>
        <w:rPr>
          <w:rFonts w:hint="eastAsia" w:ascii="仿宋_GB2312" w:hAnsi="仿宋_GB2312" w:eastAsia="仿宋_GB2312" w:cs="仿宋_GB2312"/>
          <w:b w:val="0"/>
          <w:bCs w:val="0"/>
          <w:color w:val="000000" w:themeColor="text1"/>
          <w:sz w:val="32"/>
          <w:szCs w:val="32"/>
          <w:u w:val="none" w:color="auto"/>
          <w:lang w:val="en-US" w:eastAsia="zh-CN"/>
          <w14:textFill>
            <w14:solidFill>
              <w14:schemeClr w14:val="tx1"/>
            </w14:solidFill>
          </w14:textFill>
        </w:rPr>
        <w:t>深入实施县域商业体系建设三年行动，前瞻谋划益青、然乌产站城建设，实施益青乡物流园区、白马镇珠巴村物流园等项目，果蔬配送网点实现偏远乡村全覆盖。</w:t>
      </w:r>
      <w:r>
        <w:rPr>
          <w:rFonts w:hint="eastAsia" w:ascii="仿宋_GB2312" w:hAnsi="仿宋_GB2312" w:eastAsia="仿宋_GB2312" w:cs="仿宋_GB2312"/>
          <w:b/>
          <w:bCs/>
          <w:color w:val="000000" w:themeColor="text1"/>
          <w:sz w:val="32"/>
          <w:szCs w:val="32"/>
          <w:u w:val="none" w:color="auto"/>
          <w:lang w:val="en-US" w:eastAsia="zh-CN"/>
          <w14:textFill>
            <w14:solidFill>
              <w14:schemeClr w14:val="tx1"/>
            </w14:solidFill>
          </w14:textFill>
        </w:rPr>
        <w:t>文旅</w:t>
      </w:r>
      <w:r>
        <w:rPr>
          <w:rFonts w:hint="eastAsia" w:ascii="仿宋_GB2312" w:hAnsi="仿宋_GB2312" w:eastAsia="仿宋_GB2312" w:cs="仿宋_GB2312"/>
          <w:b/>
          <w:bCs/>
          <w:color w:val="000000" w:themeColor="text1"/>
          <w:sz w:val="32"/>
          <w:szCs w:val="32"/>
          <w:u w:val="none" w:color="auto"/>
          <w14:textFill>
            <w14:solidFill>
              <w14:schemeClr w14:val="tx1"/>
            </w14:solidFill>
          </w14:textFill>
        </w:rPr>
        <w:t>产业活力迸发</w:t>
      </w:r>
      <w:r>
        <w:rPr>
          <w:rFonts w:hint="eastAsia" w:ascii="仿宋_GB2312" w:hAnsi="仿宋_GB2312" w:eastAsia="仿宋_GB2312" w:cs="仿宋_GB2312"/>
          <w:b/>
          <w:bCs/>
          <w:color w:val="000000" w:themeColor="text1"/>
          <w:sz w:val="32"/>
          <w:szCs w:val="32"/>
          <w:u w:val="none" w:color="auto"/>
          <w:lang w:eastAsia="zh-CN"/>
          <w14:textFill>
            <w14:solidFill>
              <w14:schemeClr w14:val="tx1"/>
            </w14:solidFill>
          </w14:textFill>
        </w:rPr>
        <w:t>。</w:t>
      </w:r>
      <w:r>
        <w:rPr>
          <w:rFonts w:hint="eastAsia" w:ascii="仿宋_GB2312" w:hAnsi="仿宋_GB2312" w:eastAsia="仿宋_GB2312" w:cs="仿宋_GB2312"/>
          <w:color w:val="000000" w:themeColor="text1"/>
          <w:sz w:val="32"/>
          <w:szCs w:val="32"/>
          <w:u w:val="none" w:color="auto"/>
          <w14:textFill>
            <w14:solidFill>
              <w14:schemeClr w14:val="tx1"/>
            </w14:solidFill>
          </w14:textFill>
        </w:rPr>
        <w:t>坚定实施“八个八”文旅发展思路，</w:t>
      </w:r>
      <w:r>
        <w:rPr>
          <w:rFonts w:hint="eastAsia" w:ascii="仿宋_GB2312" w:hAnsi="仿宋_GB2312" w:eastAsia="仿宋_GB2312" w:cs="仿宋_GB2312"/>
          <w:b w:val="0"/>
          <w:bCs w:val="0"/>
          <w:color w:val="000000" w:themeColor="text1"/>
          <w:sz w:val="32"/>
          <w:szCs w:val="32"/>
          <w:u w:val="none" w:color="auto"/>
          <w:lang w:eastAsia="zh-CN"/>
          <w14:textFill>
            <w14:solidFill>
              <w14:schemeClr w14:val="tx1"/>
            </w14:solidFill>
          </w14:textFill>
        </w:rPr>
        <w:t>隆重举办庆祝新中国成立75周年系列活动，</w:t>
      </w:r>
      <w:r>
        <w:rPr>
          <w:rFonts w:hint="eastAsia" w:ascii="仿宋_GB2312" w:hAnsi="仿宋_GB2312" w:eastAsia="仿宋_GB2312" w:cs="仿宋_GB2312"/>
          <w:color w:val="000000" w:themeColor="text1"/>
          <w:sz w:val="32"/>
          <w:szCs w:val="32"/>
          <w:u w:val="none" w:color="auto"/>
          <w14:textFill>
            <w14:solidFill>
              <w14:schemeClr w14:val="tx1"/>
            </w14:solidFill>
          </w14:textFill>
        </w:rPr>
        <w:t>成功举办</w:t>
      </w:r>
      <w:r>
        <w:rPr>
          <w:rFonts w:hint="eastAsia" w:ascii="仿宋_GB2312" w:hAnsi="仿宋_GB2312" w:eastAsia="仿宋_GB2312" w:cs="仿宋_GB2312"/>
          <w:color w:val="000000" w:themeColor="text1"/>
          <w:sz w:val="32"/>
          <w:szCs w:val="32"/>
          <w:u w:val="none" w:color="auto"/>
          <w:lang w:val="en-US" w:eastAsia="zh-CN"/>
          <w14:textFill>
            <w14:solidFill>
              <w14:schemeClr w14:val="tx1"/>
            </w14:solidFill>
          </w14:textFill>
        </w:rPr>
        <w:t>八宿县</w:t>
      </w:r>
      <w:r>
        <w:rPr>
          <w:rFonts w:hint="eastAsia" w:ascii="仿宋_GB2312" w:hAnsi="仿宋_GB2312" w:eastAsia="仿宋_GB2312" w:cs="仿宋_GB2312"/>
          <w:color w:val="000000" w:themeColor="text1"/>
          <w:sz w:val="32"/>
          <w:szCs w:val="32"/>
          <w:u w:val="none" w:color="auto"/>
          <w14:textFill>
            <w14:solidFill>
              <w14:schemeClr w14:val="tx1"/>
            </w14:solidFill>
          </w14:textFill>
        </w:rPr>
        <w:t>首届文化旅游节，</w:t>
      </w:r>
      <w:r>
        <w:rPr>
          <w:rFonts w:hint="eastAsia" w:ascii="仿宋_GB2312" w:hAnsi="仿宋_GB2312" w:eastAsia="仿宋_GB2312" w:cs="仿宋_GB2312"/>
          <w:color w:val="000000" w:themeColor="text1"/>
          <w:sz w:val="32"/>
          <w:szCs w:val="32"/>
          <w:u w:val="none" w:color="auto"/>
          <w:lang w:val="en-US" w:eastAsia="zh-CN"/>
          <w14:textFill>
            <w14:solidFill>
              <w14:schemeClr w14:val="tx1"/>
            </w14:solidFill>
          </w14:textFill>
        </w:rPr>
        <w:t>打造推出</w:t>
      </w:r>
      <w:r>
        <w:rPr>
          <w:rFonts w:hint="eastAsia" w:ascii="仿宋_GB2312" w:hAnsi="仿宋_GB2312" w:eastAsia="仿宋_GB2312" w:cs="仿宋_GB2312"/>
          <w:b w:val="0"/>
          <w:bCs w:val="0"/>
          <w:color w:val="000000" w:themeColor="text1"/>
          <w:sz w:val="32"/>
          <w:szCs w:val="32"/>
          <w:u w:val="none" w:color="auto"/>
          <w:lang w:eastAsia="zh-CN"/>
          <w14:textFill>
            <w14:solidFill>
              <w14:schemeClr w14:val="tx1"/>
            </w14:solidFill>
          </w14:textFill>
        </w:rPr>
        <w:t>民族团结音乐剧《花开等你来》，</w:t>
      </w:r>
      <w:r>
        <w:rPr>
          <w:rFonts w:hint="eastAsia" w:ascii="仿宋_GB2312" w:hAnsi="仿宋_GB2312" w:eastAsia="仿宋_GB2312" w:cs="仿宋_GB2312"/>
          <w:color w:val="000000" w:themeColor="text1"/>
          <w:sz w:val="32"/>
          <w:szCs w:val="32"/>
          <w:u w:val="none" w:color="auto"/>
          <w:lang w:val="en-US" w:eastAsia="zh-CN"/>
          <w14:textFill>
            <w14:solidFill>
              <w14:schemeClr w14:val="tx1"/>
            </w14:solidFill>
          </w14:textFill>
        </w:rPr>
        <w:t>八宿氆氇民族服饰时装秀成功展演。</w:t>
      </w:r>
      <w:r>
        <w:rPr>
          <w:rFonts w:hint="eastAsia" w:ascii="仿宋_GB2312" w:hAnsi="仿宋_GB2312" w:eastAsia="仿宋_GB2312" w:cs="仿宋_GB2312"/>
          <w:b w:val="0"/>
          <w:bCs w:val="0"/>
          <w:color w:val="000000" w:themeColor="text1"/>
          <w:sz w:val="32"/>
          <w:szCs w:val="32"/>
          <w:u w:val="none" w:color="auto"/>
          <w:lang w:eastAsia="zh-CN"/>
          <w14:textFill>
            <w14:solidFill>
              <w14:schemeClr w14:val="tx1"/>
            </w14:solidFill>
          </w14:textFill>
        </w:rPr>
        <w:t>71道班遗址展览馆、怒江峡谷观景台、邦达旅游集散中心、</w:t>
      </w:r>
      <w:r>
        <w:rPr>
          <w:rFonts w:hint="eastAsia" w:ascii="仿宋_GB2312" w:hAnsi="仿宋_GB2312" w:eastAsia="仿宋_GB2312" w:cs="仿宋_GB2312"/>
          <w:b w:val="0"/>
          <w:bCs w:val="0"/>
          <w:color w:val="000000" w:themeColor="text1"/>
          <w:sz w:val="32"/>
          <w:szCs w:val="32"/>
          <w:u w:val="none" w:color="auto"/>
          <w:lang w:val="en-US" w:eastAsia="zh-CN"/>
          <w14:textFill>
            <w14:solidFill>
              <w14:schemeClr w14:val="tx1"/>
            </w14:solidFill>
          </w14:textFill>
        </w:rPr>
        <w:t>榕</w:t>
      </w:r>
      <w:r>
        <w:rPr>
          <w:rFonts w:hint="eastAsia" w:ascii="仿宋_GB2312" w:hAnsi="仿宋_GB2312" w:eastAsia="仿宋_GB2312" w:cs="仿宋_GB2312"/>
          <w:color w:val="000000" w:themeColor="text1"/>
          <w:sz w:val="32"/>
          <w:szCs w:val="32"/>
          <w:u w:val="none" w:color="auto"/>
          <w:lang w:val="en-US" w:eastAsia="zh-CN"/>
          <w14:textFill>
            <w14:solidFill>
              <w14:schemeClr w14:val="tx1"/>
            </w14:solidFill>
          </w14:textFill>
        </w:rPr>
        <w:t>宿薰衣草庄园投入运营，来古冰川荣登央视春晚，</w:t>
      </w:r>
      <w:r>
        <w:rPr>
          <w:rFonts w:hint="eastAsia" w:ascii="仿宋_GB2312" w:hAnsi="仿宋_GB2312" w:eastAsia="仿宋_GB2312" w:cs="仿宋_GB2312"/>
          <w:b w:val="0"/>
          <w:bCs w:val="0"/>
          <w:color w:val="000000" w:themeColor="text1"/>
          <w:sz w:val="32"/>
          <w:szCs w:val="32"/>
          <w:u w:val="none" w:color="auto"/>
          <w:lang w:eastAsia="zh-CN"/>
          <w14:textFill>
            <w14:solidFill>
              <w14:schemeClr w14:val="tx1"/>
            </w14:solidFill>
          </w14:textFill>
        </w:rPr>
        <w:t>八宿文旅资源</w:t>
      </w:r>
      <w:r>
        <w:rPr>
          <w:rFonts w:hint="eastAsia" w:ascii="仿宋_GB2312" w:hAnsi="仿宋_GB2312" w:eastAsia="仿宋_GB2312" w:cs="仿宋_GB2312"/>
          <w:b w:val="0"/>
          <w:bCs w:val="0"/>
          <w:color w:val="000000" w:themeColor="text1"/>
          <w:sz w:val="32"/>
          <w:szCs w:val="32"/>
          <w:u w:val="none" w:color="auto"/>
          <w:lang w:val="en-US" w:eastAsia="zh-CN"/>
          <w14:textFill>
            <w14:solidFill>
              <w14:schemeClr w14:val="tx1"/>
            </w14:solidFill>
          </w14:textFill>
        </w:rPr>
        <w:t>被</w:t>
      </w:r>
      <w:r>
        <w:rPr>
          <w:rFonts w:hint="eastAsia" w:ascii="仿宋_GB2312" w:hAnsi="仿宋_GB2312" w:eastAsia="仿宋_GB2312" w:cs="仿宋_GB2312"/>
          <w:b w:val="0"/>
          <w:bCs w:val="0"/>
          <w:color w:val="000000" w:themeColor="text1"/>
          <w:sz w:val="32"/>
          <w:szCs w:val="32"/>
          <w:u w:val="none" w:color="auto"/>
          <w:lang w:eastAsia="zh-CN"/>
          <w14:textFill>
            <w14:solidFill>
              <w14:schemeClr w14:val="tx1"/>
            </w14:solidFill>
          </w14:textFill>
        </w:rPr>
        <w:t>央视、新华社、国家地理杂志、中新网等新闻媒体全方</w:t>
      </w:r>
      <w:r>
        <w:rPr>
          <w:rFonts w:hint="eastAsia" w:ascii="仿宋_GB2312" w:hAnsi="仿宋_GB2312" w:eastAsia="仿宋_GB2312" w:cs="仿宋_GB2312"/>
          <w:b w:val="0"/>
          <w:bCs w:val="0"/>
          <w:color w:val="000000" w:themeColor="text1"/>
          <w:sz w:val="32"/>
          <w:szCs w:val="32"/>
          <w:u w:val="none" w:color="auto"/>
          <w:lang w:val="en-US" w:eastAsia="zh-CN"/>
          <w14:textFill>
            <w14:solidFill>
              <w14:schemeClr w14:val="tx1"/>
            </w14:solidFill>
          </w14:textFill>
        </w:rPr>
        <w:t>位</w:t>
      </w:r>
      <w:r>
        <w:rPr>
          <w:rFonts w:hint="eastAsia" w:ascii="仿宋_GB2312" w:hAnsi="仿宋_GB2312" w:eastAsia="仿宋_GB2312" w:cs="仿宋_GB2312"/>
          <w:b w:val="0"/>
          <w:bCs w:val="0"/>
          <w:color w:val="000000" w:themeColor="text1"/>
          <w:sz w:val="32"/>
          <w:szCs w:val="32"/>
          <w:u w:val="none" w:color="auto"/>
          <w:lang w:eastAsia="zh-CN"/>
          <w14:textFill>
            <w14:solidFill>
              <w14:schemeClr w14:val="tx1"/>
            </w14:solidFill>
          </w14:textFill>
        </w:rPr>
        <w:t>报道，</w:t>
      </w:r>
      <w:r>
        <w:rPr>
          <w:rFonts w:hint="eastAsia" w:ascii="仿宋_GB2312" w:hAnsi="仿宋_GB2312" w:eastAsia="仿宋_GB2312" w:cs="仿宋_GB2312"/>
          <w:color w:val="000000" w:themeColor="text1"/>
          <w:sz w:val="32"/>
          <w:szCs w:val="32"/>
          <w:u w:val="none" w:color="auto"/>
          <w:lang w:val="en-US" w:eastAsia="zh-CN"/>
          <w14:textFill>
            <w14:solidFill>
              <w14:schemeClr w14:val="tx1"/>
            </w14:solidFill>
          </w14:textFill>
        </w:rPr>
        <w:t>荣获“全市旅游发展先进县”称号。</w:t>
      </w:r>
      <w:r>
        <w:rPr>
          <w:rFonts w:hint="eastAsia" w:ascii="仿宋_GB2312" w:hAnsi="仿宋_GB2312" w:eastAsia="仿宋_GB2312" w:cs="仿宋_GB2312"/>
          <w:b w:val="0"/>
          <w:bCs w:val="0"/>
          <w:color w:val="000000" w:themeColor="text1"/>
          <w:sz w:val="32"/>
          <w:szCs w:val="32"/>
          <w:u w:val="none" w:color="auto"/>
          <w:lang w:eastAsia="zh-CN"/>
          <w14:textFill>
            <w14:solidFill>
              <w14:schemeClr w14:val="tx1"/>
            </w14:solidFill>
          </w14:textFill>
        </w:rPr>
        <w:t>全年累计接待游客143.4万人次，实现旅游收入2.86亿元。</w:t>
      </w:r>
    </w:p>
    <w:p w14:paraId="5AD7C119">
      <w:pPr>
        <w:keepNext w:val="0"/>
        <w:keepLines w:val="0"/>
        <w:pageBreakBefore w:val="0"/>
        <w:kinsoku/>
        <w:wordWrap/>
        <w:autoSpaceDE/>
        <w:autoSpaceDN/>
        <w:bidi w:val="0"/>
        <w:spacing w:line="560" w:lineRule="exact"/>
        <w:ind w:firstLine="643" w:firstLineChars="200"/>
        <w:textAlignment w:val="auto"/>
        <w:rPr>
          <w:rFonts w:hint="default" w:ascii="仿宋_GB2312" w:hAnsi="仿宋_GB2312" w:eastAsia="仿宋_GB2312" w:cs="仿宋_GB2312"/>
          <w:color w:val="000000" w:themeColor="text1"/>
          <w:sz w:val="32"/>
          <w:szCs w:val="32"/>
          <w:highlight w:val="none"/>
          <w:u w:val="none" w:color="auto"/>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u w:val="none" w:color="auto"/>
          <w:lang w:val="en-US" w:eastAsia="zh-CN"/>
          <w14:textFill>
            <w14:solidFill>
              <w14:schemeClr w14:val="tx1"/>
            </w14:solidFill>
          </w14:textFill>
        </w:rPr>
        <w:t>城乡建设实现融合共进</w:t>
      </w:r>
      <w:r>
        <w:rPr>
          <w:rFonts w:hint="eastAsia" w:ascii="楷体_GB2312" w:hAnsi="楷体_GB2312" w:eastAsia="楷体_GB2312" w:cs="楷体_GB2312"/>
          <w:b/>
          <w:bCs/>
          <w:color w:val="000000" w:themeColor="text1"/>
          <w:sz w:val="32"/>
          <w:szCs w:val="32"/>
          <w:u w:val="none" w:color="auto"/>
          <w14:textFill>
            <w14:solidFill>
              <w14:schemeClr w14:val="tx1"/>
            </w14:solidFill>
          </w14:textFill>
        </w:rPr>
        <w:t>。</w:t>
      </w:r>
      <w:r>
        <w:rPr>
          <w:rFonts w:hint="eastAsia" w:ascii="仿宋_GB2312" w:hAnsi="仿宋_GB2312" w:eastAsia="仿宋_GB2312" w:cs="仿宋_GB2312"/>
          <w:color w:val="000000" w:themeColor="text1"/>
          <w:sz w:val="32"/>
          <w:szCs w:val="32"/>
          <w:u w:val="none" w:color="auto"/>
          <w:lang w:val="en-US" w:eastAsia="zh-CN"/>
          <w14:textFill>
            <w14:solidFill>
              <w14:schemeClr w14:val="tx1"/>
            </w14:solidFill>
          </w14:textFill>
        </w:rPr>
        <w:t>坚持乡村全面振兴与新型城镇化有机结合，不断优化城乡空间格局，加快重点城镇发展。</w:t>
      </w:r>
      <w:r>
        <w:rPr>
          <w:rFonts w:hint="eastAsia" w:ascii="仿宋_GB2312" w:hAnsi="仿宋_GB2312" w:eastAsia="仿宋_GB2312" w:cs="仿宋_GB2312"/>
          <w:color w:val="000000" w:themeColor="text1"/>
          <w:sz w:val="32"/>
          <w:szCs w:val="32"/>
          <w:highlight w:val="none"/>
          <w:u w:val="none" w:color="auto"/>
          <w:lang w:val="en-US" w:eastAsia="zh-CN"/>
          <w14:textFill>
            <w14:solidFill>
              <w14:schemeClr w14:val="tx1"/>
            </w14:solidFill>
          </w14:textFill>
        </w:rPr>
        <w:t>县城排水防涝工程、同卡镇卡顶俄觉安置点基础设施提升工程、同卡镇供氧试点工程等项目建成投用。修建农村公路5条，</w:t>
      </w:r>
      <w:r>
        <w:rPr>
          <w:rFonts w:hint="eastAsia" w:ascii="仿宋_GB2312" w:hAnsi="仿宋_GB2312" w:eastAsia="仿宋_GB2312" w:cs="仿宋_GB2312"/>
          <w:color w:val="000000" w:themeColor="text1"/>
          <w:sz w:val="32"/>
          <w:szCs w:val="32"/>
          <w:u w:val="none" w:color="auto"/>
          <w:lang w:val="en-US" w:eastAsia="zh-CN"/>
          <w14:textFill>
            <w14:solidFill>
              <w14:schemeClr w14:val="tx1"/>
            </w14:solidFill>
          </w14:textFill>
        </w:rPr>
        <w:t>完成</w:t>
      </w:r>
      <w:r>
        <w:rPr>
          <w:rFonts w:hint="eastAsia" w:ascii="仿宋_GB2312" w:hAnsi="仿宋_GB2312" w:eastAsia="仿宋_GB2312" w:cs="仿宋_GB2312"/>
          <w:b w:val="0"/>
          <w:bCs w:val="0"/>
          <w:color w:val="000000" w:themeColor="text1"/>
          <w:sz w:val="32"/>
          <w:szCs w:val="32"/>
          <w:u w:val="none" w:color="auto"/>
          <w:lang w:val="en-US" w:eastAsia="zh-CN"/>
          <w14:textFill>
            <w14:solidFill>
              <w14:schemeClr w14:val="tx1"/>
            </w14:solidFill>
          </w14:textFill>
        </w:rPr>
        <w:t>危桥改造4座，安装生命防护工程5个，新建吉达占果水渠，维修改造人饮点5个，实施电力电网工</w:t>
      </w:r>
      <w:r>
        <w:rPr>
          <w:rFonts w:hint="eastAsia" w:ascii="仿宋_GB2312" w:hAnsi="仿宋_GB2312" w:eastAsia="仿宋_GB2312" w:cs="仿宋_GB2312"/>
          <w:color w:val="000000" w:themeColor="text1"/>
          <w:sz w:val="32"/>
          <w:szCs w:val="32"/>
          <w:highlight w:val="none"/>
          <w:u w:val="none" w:color="auto"/>
          <w:lang w:val="en-US" w:eastAsia="zh-CN"/>
          <w14:textFill>
            <w14:solidFill>
              <w14:schemeClr w14:val="tx1"/>
            </w14:solidFill>
          </w14:textFill>
        </w:rPr>
        <w:t>程9个，新增通讯基站58座，城乡基础设施有效改善。投入资金2.01亿元实施衔接推进乡村振兴补助资金项目22个，建设“美丽宜居村”6个，完成危房改造217户，人畜分离1512户，消除监测对象风险户9户33人，全县28个产业扶贫项目实现分红1063.46万元，2024年巩固拓展脱贫攻坚成果获评“好”等次，脱贫攻坚成果得到巩固提升，乡村全面振兴扎实推进。</w:t>
      </w:r>
    </w:p>
    <w:p w14:paraId="45EB08C7">
      <w:pPr>
        <w:keepNext w:val="0"/>
        <w:keepLines w:val="0"/>
        <w:pageBreakBefore w:val="0"/>
        <w:kinsoku/>
        <w:wordWrap/>
        <w:autoSpaceDE/>
        <w:autoSpaceDN/>
        <w:bidi w:val="0"/>
        <w:snapToGrid w:val="0"/>
        <w:spacing w:line="560" w:lineRule="exact"/>
        <w:ind w:firstLine="643" w:firstLineChars="200"/>
        <w:textAlignment w:val="auto"/>
        <w:rPr>
          <w:rFonts w:hint="eastAsia" w:ascii="仿宋_GB2312" w:hAnsi="仿宋_GB2312" w:eastAsia="仿宋_GB2312" w:cs="仿宋_GB2312"/>
          <w:color w:val="000000" w:themeColor="text1"/>
          <w:sz w:val="32"/>
          <w:szCs w:val="32"/>
          <w:u w:val="none" w:color="auto"/>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u w:val="none" w:color="auto"/>
          <w:lang w:val="en-US" w:eastAsia="zh-CN"/>
          <w14:textFill>
            <w14:solidFill>
              <w14:schemeClr w14:val="tx1"/>
            </w14:solidFill>
          </w14:textFill>
        </w:rPr>
        <w:t>改革创新实现</w:t>
      </w:r>
      <w:r>
        <w:rPr>
          <w:rFonts w:hint="eastAsia" w:ascii="楷体_GB2312" w:hAnsi="楷体_GB2312" w:eastAsia="楷体_GB2312" w:cs="楷体_GB2312"/>
          <w:b/>
          <w:bCs/>
          <w:color w:val="000000" w:themeColor="text1"/>
          <w:sz w:val="32"/>
          <w:szCs w:val="32"/>
          <w:u w:val="none" w:color="auto"/>
          <w14:textFill>
            <w14:solidFill>
              <w14:schemeClr w14:val="tx1"/>
            </w14:solidFill>
          </w14:textFill>
        </w:rPr>
        <w:t>进而有为。</w:t>
      </w:r>
      <w:r>
        <w:rPr>
          <w:rFonts w:hint="eastAsia" w:ascii="仿宋_GB2312" w:hAnsi="仿宋_GB2312" w:eastAsia="仿宋_GB2312" w:cs="仿宋_GB2312"/>
          <w:color w:val="000000" w:themeColor="text1"/>
          <w:sz w:val="32"/>
          <w:szCs w:val="32"/>
          <w:highlight w:val="none"/>
          <w:u w:val="none" w:color="auto"/>
          <w:lang w:val="en-US" w:eastAsia="zh-CN"/>
          <w14:textFill>
            <w14:solidFill>
              <w14:schemeClr w14:val="tx1"/>
            </w14:solidFill>
          </w14:textFill>
        </w:rPr>
        <w:t>八宿县新政务服务</w:t>
      </w:r>
      <w:r>
        <w:rPr>
          <w:rFonts w:hint="eastAsia" w:ascii="仿宋_GB2312" w:hAnsi="仿宋_GB2312" w:eastAsia="仿宋_GB2312" w:cs="仿宋_GB2312"/>
          <w:color w:val="000000" w:themeColor="text1"/>
          <w:sz w:val="32"/>
          <w:szCs w:val="32"/>
          <w:u w:val="none" w:color="auto"/>
          <w:lang w:val="en-US" w:eastAsia="zh-CN"/>
          <w14:textFill>
            <w14:solidFill>
              <w14:schemeClr w14:val="tx1"/>
            </w14:solidFill>
          </w14:textFill>
        </w:rPr>
        <w:t>中心、县级公共法律服务中心建成投用，梳理县直单位不见面政务服务事项143项，基本实现政务服务“一网通办”，</w:t>
      </w:r>
      <w:r>
        <w:rPr>
          <w:rFonts w:hint="eastAsia" w:ascii="仿宋_GB2312" w:hAnsi="仿宋_GB2312" w:eastAsia="仿宋_GB2312" w:cs="仿宋_GB2312"/>
          <w:b w:val="0"/>
          <w:bCs w:val="0"/>
          <w:color w:val="000000" w:themeColor="text1"/>
          <w:sz w:val="32"/>
          <w:szCs w:val="32"/>
          <w:u w:val="none" w:color="auto"/>
          <w:lang w:val="en-US" w:eastAsia="zh-CN"/>
          <w14:textFill>
            <w14:solidFill>
              <w14:schemeClr w14:val="tx1"/>
            </w14:solidFill>
          </w14:textFill>
        </w:rPr>
        <w:t>持续推进商事登记便利化改革，</w:t>
      </w:r>
      <w:r>
        <w:rPr>
          <w:rFonts w:hint="eastAsia" w:ascii="仿宋_GB2312" w:hAnsi="仿宋_GB2312" w:eastAsia="仿宋_GB2312" w:cs="仿宋_GB2312"/>
          <w:color w:val="000000" w:themeColor="text1"/>
          <w:sz w:val="32"/>
          <w:szCs w:val="32"/>
          <w:u w:val="none" w:color="auto"/>
          <w:lang w:val="en-US" w:eastAsia="zh-CN"/>
          <w14:textFill>
            <w14:solidFill>
              <w14:schemeClr w14:val="tx1"/>
            </w14:solidFill>
          </w14:textFill>
        </w:rPr>
        <w:t>个体工商户登记实现“即申即办即批”。</w:t>
      </w:r>
      <w:r>
        <w:rPr>
          <w:rFonts w:hint="eastAsia" w:ascii="仿宋_GB2312" w:hAnsi="仿宋_GB2312" w:eastAsia="仿宋_GB2312" w:cs="仿宋_GB2312"/>
          <w:color w:val="000000" w:themeColor="text1"/>
          <w:sz w:val="32"/>
          <w:szCs w:val="32"/>
          <w:u w:val="none" w:color="auto"/>
          <w:lang w:eastAsia="zh-CN"/>
          <w14:textFill>
            <w14:solidFill>
              <w14:schemeClr w14:val="tx1"/>
            </w14:solidFill>
          </w14:textFill>
        </w:rPr>
        <w:t>全面落实</w:t>
      </w:r>
      <w:r>
        <w:rPr>
          <w:rFonts w:hint="eastAsia" w:ascii="仿宋_GB2312" w:hAnsi="仿宋_GB2312" w:eastAsia="仿宋_GB2312" w:cs="仿宋_GB2312"/>
          <w:b w:val="0"/>
          <w:bCs w:val="0"/>
          <w:color w:val="000000" w:themeColor="text1"/>
          <w:sz w:val="32"/>
          <w:szCs w:val="32"/>
          <w:u w:val="none" w:color="auto"/>
          <w:lang w:eastAsia="zh-CN"/>
          <w14:textFill>
            <w14:solidFill>
              <w14:schemeClr w14:val="tx1"/>
            </w14:solidFill>
          </w14:textFill>
        </w:rPr>
        <w:t>惠企各项政策措施，</w:t>
      </w:r>
      <w:r>
        <w:rPr>
          <w:rFonts w:hint="eastAsia" w:ascii="仿宋_GB2312" w:hAnsi="仿宋_GB2312" w:eastAsia="仿宋_GB2312" w:cs="仿宋_GB2312"/>
          <w:b w:val="0"/>
          <w:bCs w:val="0"/>
          <w:color w:val="000000" w:themeColor="text1"/>
          <w:sz w:val="32"/>
          <w:szCs w:val="32"/>
          <w:u w:val="none" w:color="auto"/>
          <w:lang w:val="en-US" w:eastAsia="zh-CN"/>
          <w14:textFill>
            <w14:solidFill>
              <w14:schemeClr w14:val="tx1"/>
            </w14:solidFill>
          </w14:textFill>
        </w:rPr>
        <w:t>累计为各类市场主体减免税费7100余万元，</w:t>
      </w:r>
      <w:r>
        <w:rPr>
          <w:rFonts w:hint="eastAsia" w:ascii="仿宋_GB2312" w:hAnsi="仿宋_GB2312" w:eastAsia="仿宋_GB2312" w:cs="仿宋_GB2312"/>
          <w:color w:val="000000" w:themeColor="text1"/>
          <w:sz w:val="32"/>
          <w:szCs w:val="32"/>
          <w:u w:val="none" w:color="auto"/>
          <w:lang w:val="en-US" w:eastAsia="zh-CN"/>
          <w14:textFill>
            <w14:solidFill>
              <w14:schemeClr w14:val="tx1"/>
            </w14:solidFill>
          </w14:textFill>
        </w:rPr>
        <w:t>新增市场主体609户，新增注册资金4.23亿元，</w:t>
      </w:r>
      <w:r>
        <w:rPr>
          <w:rFonts w:hint="eastAsia" w:ascii="仿宋_GB2312" w:hAnsi="仿宋_GB2312" w:eastAsia="仿宋_GB2312" w:cs="仿宋_GB2312"/>
          <w:b w:val="0"/>
          <w:bCs w:val="0"/>
          <w:color w:val="000000" w:themeColor="text1"/>
          <w:sz w:val="32"/>
          <w:szCs w:val="32"/>
          <w:u w:val="none" w:color="auto"/>
          <w:lang w:val="en-US" w:eastAsia="zh-CN"/>
          <w14:textFill>
            <w14:solidFill>
              <w14:schemeClr w14:val="tx1"/>
            </w14:solidFill>
          </w14:textFill>
        </w:rPr>
        <w:t>民间投资实现零突破。深入推进国企国资改革，</w:t>
      </w:r>
      <w:r>
        <w:rPr>
          <w:rFonts w:hint="eastAsia" w:ascii="仿宋_GB2312" w:hAnsi="仿宋_GB2312" w:eastAsia="仿宋_GB2312" w:cs="仿宋_GB2312"/>
          <w:color w:val="000000" w:themeColor="text1"/>
          <w:sz w:val="32"/>
          <w:szCs w:val="32"/>
          <w:u w:val="none" w:color="auto"/>
          <w:lang w:val="en-US" w:eastAsia="zh-CN"/>
          <w14:textFill>
            <w14:solidFill>
              <w14:schemeClr w14:val="tx1"/>
            </w14:solidFill>
          </w14:textFill>
        </w:rPr>
        <w:t>对5家县属国有企业开展经济责任和财务收支审计，将由原来的</w:t>
      </w:r>
      <w:r>
        <w:rPr>
          <w:rFonts w:hint="eastAsia" w:ascii="仿宋_GB2312" w:hAnsi="仿宋_GB2312" w:eastAsia="仿宋_GB2312" w:cs="仿宋_GB2312"/>
          <w:b w:val="0"/>
          <w:bCs w:val="0"/>
          <w:color w:val="000000" w:themeColor="text1"/>
          <w:sz w:val="32"/>
          <w:szCs w:val="32"/>
          <w:u w:val="none" w:color="auto"/>
          <w:lang w:val="en-US" w:eastAsia="zh-CN"/>
          <w14:textFill>
            <w14:solidFill>
              <w14:schemeClr w14:val="tx1"/>
            </w14:solidFill>
          </w14:textFill>
        </w:rPr>
        <w:t>5家国资监管机构重组整合至1家。核准农村宅基地建房80户，流转土地546亩。全面提升招商引资质效，全年累计到位资金4.5亿元，完成目标任务的146%。</w:t>
      </w:r>
      <w:r>
        <w:rPr>
          <w:rFonts w:hint="eastAsia" w:ascii="仿宋_GB2312" w:hAnsi="仿宋_GB2312" w:eastAsia="仿宋_GB2312" w:cs="仿宋_GB2312"/>
          <w:color w:val="000000" w:themeColor="text1"/>
          <w:sz w:val="32"/>
          <w:szCs w:val="32"/>
          <w:u w:val="none" w:color="auto"/>
          <w:lang w:val="en-US" w:eastAsia="zh-CN"/>
          <w14:textFill>
            <w14:solidFill>
              <w14:schemeClr w14:val="tx1"/>
            </w14:solidFill>
          </w14:textFill>
        </w:rPr>
        <w:t>积极参加区内外各类展销推介活动，持续深化拓展与援八省市企业合作交流，</w:t>
      </w:r>
      <w:r>
        <w:rPr>
          <w:rFonts w:hint="eastAsia" w:ascii="仿宋_GB2312" w:hAnsi="仿宋_GB2312" w:eastAsia="仿宋_GB2312" w:cs="仿宋_GB2312"/>
          <w:color w:val="000000" w:themeColor="text1"/>
          <w:kern w:val="2"/>
          <w:sz w:val="32"/>
          <w:szCs w:val="32"/>
          <w:u w:val="none" w:color="auto"/>
          <w:lang w:val="en-US" w:eastAsia="zh-CN" w:bidi="ar-SA"/>
          <w14:textFill>
            <w14:solidFill>
              <w14:schemeClr w14:val="tx1"/>
            </w14:solidFill>
          </w14:textFill>
        </w:rPr>
        <w:t>对接协调福州市教育、医疗“组团式”对口援八工作落地，</w:t>
      </w:r>
      <w:r>
        <w:rPr>
          <w:rFonts w:hint="eastAsia" w:ascii="仿宋_GB2312" w:hAnsi="仿宋_GB2312" w:eastAsia="仿宋_GB2312" w:cs="仿宋_GB2312"/>
          <w:color w:val="000000" w:themeColor="text1"/>
          <w:sz w:val="32"/>
          <w:szCs w:val="32"/>
          <w:u w:val="none" w:color="auto"/>
          <w:lang w:val="en-US" w:eastAsia="zh-CN"/>
          <w14:textFill>
            <w14:solidFill>
              <w14:schemeClr w14:val="tx1"/>
            </w14:solidFill>
          </w14:textFill>
        </w:rPr>
        <w:t>举办援藏30周年系列活动及文艺演出。八宿农特产品上架海螺水泥、中能建等企业内部销售平台，加强与周边县区沟通联系，开放水平不断扩大。</w:t>
      </w:r>
    </w:p>
    <w:p w14:paraId="6C24E01D">
      <w:pPr>
        <w:keepNext w:val="0"/>
        <w:keepLines w:val="0"/>
        <w:pageBreakBefore w:val="0"/>
        <w:kinsoku/>
        <w:wordWrap/>
        <w:autoSpaceDE/>
        <w:autoSpaceDN/>
        <w:bidi w:val="0"/>
        <w:spacing w:line="560" w:lineRule="exact"/>
        <w:ind w:firstLine="643" w:firstLineChars="200"/>
        <w:textAlignment w:val="auto"/>
        <w:rPr>
          <w:rFonts w:hint="eastAsia" w:ascii="仿宋_GB2312" w:hAnsi="仿宋_GB2312" w:eastAsia="仿宋_GB2312" w:cs="仿宋_GB2312"/>
          <w:b w:val="0"/>
          <w:bCs w:val="0"/>
          <w:color w:val="000000" w:themeColor="text1"/>
          <w:sz w:val="32"/>
          <w:szCs w:val="32"/>
          <w:u w:val="none" w:color="auto"/>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u w:val="none" w:color="auto"/>
          <w:lang w:val="en-US" w:eastAsia="zh-CN"/>
          <w14:textFill>
            <w14:solidFill>
              <w14:schemeClr w14:val="tx1"/>
            </w14:solidFill>
          </w14:textFill>
        </w:rPr>
        <w:t>民生福祉实现扩面提标。</w:t>
      </w:r>
      <w:r>
        <w:rPr>
          <w:rFonts w:hint="eastAsia" w:ascii="仿宋_GB2312" w:hAnsi="仿宋_GB2312" w:eastAsia="仿宋_GB2312" w:cs="仿宋_GB2312"/>
          <w:b/>
          <w:bCs/>
          <w:color w:val="000000" w:themeColor="text1"/>
          <w:sz w:val="32"/>
          <w:szCs w:val="32"/>
          <w:u w:val="none" w:color="auto"/>
          <w:lang w:val="en-US" w:eastAsia="zh-CN"/>
          <w14:textFill>
            <w14:solidFill>
              <w14:schemeClr w14:val="tx1"/>
            </w14:solidFill>
          </w14:textFill>
        </w:rPr>
        <w:t>实施积极就业创业政策。</w:t>
      </w:r>
      <w:r>
        <w:rPr>
          <w:rFonts w:hint="eastAsia" w:ascii="仿宋_GB2312" w:hAnsi="仿宋_GB2312" w:eastAsia="仿宋_GB2312" w:cs="仿宋_GB2312"/>
          <w:color w:val="000000" w:themeColor="text1"/>
          <w:sz w:val="32"/>
          <w:szCs w:val="32"/>
          <w:u w:val="none" w:color="auto"/>
          <w:lang w:val="en-US" w:eastAsia="zh-CN"/>
          <w14:textFill>
            <w14:solidFill>
              <w14:schemeClr w14:val="tx1"/>
            </w14:solidFill>
          </w14:textFill>
        </w:rPr>
        <w:t>全面落实促进城乡居民增收“双十条”硬措施，开展农牧民职业技能培训1600余人次，开发就业岗位4000余个，城镇新增就业470余人，应届高校毕业生就业率达98%。实现农牧民转移就业1.12万人次，转移就业收入2.8亿元，城乡居民收入稳中有增。其中，农村居民人均可支配收入绝对值居全市第二。</w:t>
      </w:r>
      <w:r>
        <w:rPr>
          <w:rFonts w:hint="eastAsia" w:ascii="仿宋_GB2312" w:hAnsi="仿宋_GB2312" w:eastAsia="仿宋_GB2312" w:cs="仿宋_GB2312"/>
          <w:b/>
          <w:bCs/>
          <w:color w:val="000000" w:themeColor="text1"/>
          <w:sz w:val="32"/>
          <w:szCs w:val="32"/>
          <w:u w:val="none" w:color="auto"/>
          <w:lang w:val="en-US" w:eastAsia="zh-CN"/>
          <w14:textFill>
            <w14:solidFill>
              <w14:schemeClr w14:val="tx1"/>
            </w14:solidFill>
          </w14:textFill>
        </w:rPr>
        <w:t>优先发展教育事业。</w:t>
      </w:r>
      <w:r>
        <w:rPr>
          <w:rFonts w:hint="eastAsia" w:ascii="仿宋_GB2312" w:hAnsi="仿宋_GB2312" w:eastAsia="仿宋_GB2312" w:cs="仿宋_GB2312"/>
          <w:color w:val="000000" w:themeColor="text1"/>
          <w:kern w:val="2"/>
          <w:sz w:val="32"/>
          <w:szCs w:val="32"/>
          <w:u w:val="none" w:color="auto"/>
          <w:lang w:val="en-US" w:eastAsia="zh-CN" w:bidi="ar-SA"/>
          <w14:textFill>
            <w14:solidFill>
              <w14:schemeClr w14:val="tx1"/>
            </w14:solidFill>
          </w14:textFill>
        </w:rPr>
        <w:t>投入资金1260万元实施22所幼儿园维修改造和学前教育普及普惠办学条件标准化建设，</w:t>
      </w:r>
      <w:r>
        <w:rPr>
          <w:rFonts w:hint="eastAsia" w:ascii="仿宋_GB2312" w:hAnsi="仿宋_GB2312" w:eastAsia="仿宋_GB2312" w:cs="仿宋_GB2312"/>
          <w:color w:val="000000" w:themeColor="text1"/>
          <w:sz w:val="32"/>
          <w:szCs w:val="32"/>
          <w:u w:val="none" w:color="auto"/>
          <w:lang w:val="en-US" w:eastAsia="zh-CN"/>
          <w14:textFill>
            <w14:solidFill>
              <w14:schemeClr w14:val="tx1"/>
            </w14:solidFill>
          </w14:textFill>
        </w:rPr>
        <w:t>新建同卡、郭庆等4所村级幼儿园，顺利通过自治区学前教育普及普惠评估认定，</w:t>
      </w:r>
      <w:r>
        <w:rPr>
          <w:rFonts w:hint="eastAsia" w:ascii="仿宋_GB2312" w:hAnsi="仿宋_GB2312" w:eastAsia="仿宋_GB2312" w:cs="仿宋_GB2312"/>
          <w:color w:val="000000" w:themeColor="text1"/>
          <w:kern w:val="2"/>
          <w:sz w:val="32"/>
          <w:szCs w:val="32"/>
          <w:u w:val="none" w:color="auto"/>
          <w:lang w:val="en-US" w:eastAsia="zh-CN" w:bidi="ar-SA"/>
          <w14:textFill>
            <w14:solidFill>
              <w14:schemeClr w14:val="tx1"/>
            </w14:solidFill>
          </w14:textFill>
        </w:rPr>
        <w:t>八宿县第一幼儿园荣获“全国教育系统先进集体”称号。</w:t>
      </w:r>
      <w:r>
        <w:rPr>
          <w:rFonts w:hint="eastAsia" w:ascii="仿宋_GB2312" w:hAnsi="仿宋_GB2312" w:eastAsia="仿宋_GB2312" w:cs="仿宋_GB2312"/>
          <w:b/>
          <w:bCs/>
          <w:color w:val="000000" w:themeColor="text1"/>
          <w:kern w:val="2"/>
          <w:sz w:val="32"/>
          <w:szCs w:val="32"/>
          <w:u w:val="none" w:color="auto"/>
          <w:lang w:val="en-US" w:eastAsia="zh-CN" w:bidi="ar-SA"/>
          <w14:textFill>
            <w14:solidFill>
              <w14:schemeClr w14:val="tx1"/>
            </w14:solidFill>
          </w14:textFill>
        </w:rPr>
        <w:t>文化服务优质供给。</w:t>
      </w:r>
      <w:r>
        <w:rPr>
          <w:rFonts w:hint="eastAsia" w:ascii="仿宋_GB2312" w:hAnsi="仿宋_GB2312" w:eastAsia="仿宋_GB2312" w:cs="仿宋_GB2312"/>
          <w:color w:val="000000" w:themeColor="text1"/>
          <w:kern w:val="2"/>
          <w:sz w:val="32"/>
          <w:szCs w:val="32"/>
          <w:u w:val="none" w:color="auto"/>
          <w:lang w:val="en-US" w:eastAsia="zh-CN" w:bidi="ar-SA"/>
          <w14:textFill>
            <w14:solidFill>
              <w14:schemeClr w14:val="tx1"/>
            </w14:solidFill>
          </w14:textFill>
        </w:rPr>
        <w:t>组建乡村文艺演出队伍105支，全年开展各类文艺演出390余场次，《八宿民俗文化》《蓝色八宿勇士之旅》等书</w:t>
      </w:r>
      <w:r>
        <w:rPr>
          <w:rFonts w:hint="eastAsia" w:ascii="仿宋_GB2312" w:hAnsi="仿宋_GB2312" w:eastAsia="仿宋_GB2312" w:cs="仿宋_GB2312"/>
          <w:b w:val="0"/>
          <w:bCs w:val="0"/>
          <w:color w:val="000000" w:themeColor="text1"/>
          <w:sz w:val="32"/>
          <w:szCs w:val="32"/>
          <w:u w:val="none" w:color="auto"/>
          <w:lang w:val="en-US" w:eastAsia="zh-CN"/>
          <w14:textFill>
            <w14:solidFill>
              <w14:schemeClr w14:val="tx1"/>
            </w14:solidFill>
          </w14:textFill>
        </w:rPr>
        <w:t>籍</w:t>
      </w:r>
      <w:r>
        <w:rPr>
          <w:rFonts w:hint="eastAsia" w:ascii="仿宋_GB2312" w:hAnsi="仿宋_GB2312" w:eastAsia="仿宋_GB2312" w:cs="仿宋_GB2312"/>
          <w:color w:val="000000" w:themeColor="text1"/>
          <w:kern w:val="2"/>
          <w:sz w:val="32"/>
          <w:szCs w:val="32"/>
          <w:u w:val="none" w:color="auto"/>
          <w:lang w:val="en-US" w:eastAsia="zh-CN" w:bidi="ar-SA"/>
          <w14:textFill>
            <w14:solidFill>
              <w14:schemeClr w14:val="tx1"/>
            </w14:solidFill>
          </w14:textFill>
        </w:rPr>
        <w:t>编撰出版</w:t>
      </w:r>
      <w:r>
        <w:rPr>
          <w:rFonts w:hint="eastAsia" w:ascii="仿宋_GB2312" w:hAnsi="仿宋_GB2312" w:eastAsia="仿宋_GB2312" w:cs="仿宋_GB2312"/>
          <w:b w:val="0"/>
          <w:bCs w:val="0"/>
          <w:color w:val="000000" w:themeColor="text1"/>
          <w:sz w:val="32"/>
          <w:szCs w:val="32"/>
          <w:u w:val="none" w:color="auto"/>
          <w:lang w:val="en-US" w:eastAsia="zh-CN"/>
          <w14:textFill>
            <w14:solidFill>
              <w14:schemeClr w14:val="tx1"/>
            </w14:solidFill>
          </w14:textFill>
        </w:rPr>
        <w:t>。深入开展文物普查工作，挖掘申报第四批县级非物质文化遗产项目5个。八宿县综合文化活动中心建成使用，成功创建自治区公共文化服务体系示范县。</w:t>
      </w:r>
      <w:r>
        <w:rPr>
          <w:rFonts w:hint="eastAsia" w:ascii="仿宋_GB2312" w:hAnsi="仿宋_GB2312" w:eastAsia="仿宋_GB2312" w:cs="仿宋_GB2312"/>
          <w:b/>
          <w:bCs/>
          <w:color w:val="000000" w:themeColor="text1"/>
          <w:sz w:val="32"/>
          <w:szCs w:val="32"/>
          <w:u w:val="none" w:color="auto"/>
          <w:lang w:val="en-US" w:eastAsia="zh-CN"/>
          <w14:textFill>
            <w14:solidFill>
              <w14:schemeClr w14:val="tx1"/>
            </w14:solidFill>
          </w14:textFill>
        </w:rPr>
        <w:t>医疗服务水平持续提升。</w:t>
      </w:r>
      <w:r>
        <w:rPr>
          <w:rFonts w:hint="eastAsia" w:ascii="仿宋_GB2312" w:hAnsi="仿宋_GB2312" w:eastAsia="仿宋_GB2312" w:cs="仿宋_GB2312"/>
          <w:color w:val="000000" w:themeColor="text1"/>
          <w:kern w:val="2"/>
          <w:sz w:val="32"/>
          <w:szCs w:val="32"/>
          <w:u w:val="none" w:color="auto"/>
          <w:lang w:val="en-US" w:eastAsia="zh-CN" w:bidi="ar-SA"/>
          <w14:textFill>
            <w14:solidFill>
              <w14:schemeClr w14:val="tx1"/>
            </w14:solidFill>
          </w14:textFill>
        </w:rPr>
        <w:t>14乡（镇）卫生院全部设立藏医馆</w:t>
      </w:r>
      <w:r>
        <w:rPr>
          <w:rFonts w:hint="eastAsia" w:ascii="仿宋_GB2312" w:hAnsi="仿宋_GB2312" w:eastAsia="仿宋_GB2312" w:cs="仿宋_GB2312"/>
          <w:b w:val="0"/>
          <w:bCs w:val="0"/>
          <w:color w:val="000000" w:themeColor="text1"/>
          <w:kern w:val="2"/>
          <w:sz w:val="32"/>
          <w:szCs w:val="32"/>
          <w:u w:val="none" w:color="auto"/>
          <w:lang w:val="en-US" w:eastAsia="zh-CN" w:bidi="ar-SA"/>
          <w14:textFill>
            <w14:solidFill>
              <w14:schemeClr w14:val="tx1"/>
            </w14:solidFill>
          </w14:textFill>
        </w:rPr>
        <w:t>，</w:t>
      </w:r>
      <w:r>
        <w:rPr>
          <w:rFonts w:hint="eastAsia" w:ascii="仿宋_GB2312" w:hAnsi="仿宋_GB2312" w:eastAsia="仿宋_GB2312" w:cs="仿宋_GB2312"/>
          <w:b w:val="0"/>
          <w:bCs w:val="0"/>
          <w:color w:val="000000" w:themeColor="text1"/>
          <w:sz w:val="32"/>
          <w:szCs w:val="32"/>
          <w:u w:val="none" w:color="auto"/>
          <w:lang w:val="en-US" w:eastAsia="zh-CN"/>
          <w14:textFill>
            <w14:solidFill>
              <w14:schemeClr w14:val="tx1"/>
            </w14:solidFill>
          </w14:textFill>
        </w:rPr>
        <w:t>县人民医院传染病区附属工程竣工验收，县人民医院、藏医院供暖工程投入使用，“两降一升”工作成果持续巩固。</w:t>
      </w:r>
      <w:r>
        <w:rPr>
          <w:rFonts w:hint="eastAsia" w:ascii="仿宋_GB2312" w:hAnsi="仿宋_GB2312" w:eastAsia="仿宋_GB2312" w:cs="仿宋_GB2312"/>
          <w:b/>
          <w:bCs/>
          <w:color w:val="000000" w:themeColor="text1"/>
          <w:sz w:val="32"/>
          <w:szCs w:val="32"/>
          <w:u w:val="none" w:color="auto"/>
          <w:lang w:val="en-US" w:eastAsia="zh-CN"/>
          <w14:textFill>
            <w14:solidFill>
              <w14:schemeClr w14:val="tx1"/>
            </w14:solidFill>
          </w14:textFill>
        </w:rPr>
        <w:t>保障网络织密织牢。</w:t>
      </w:r>
      <w:r>
        <w:rPr>
          <w:rFonts w:hint="eastAsia" w:ascii="仿宋_GB2312" w:hAnsi="仿宋_GB2312" w:eastAsia="仿宋_GB2312" w:cs="仿宋_GB2312"/>
          <w:b w:val="0"/>
          <w:bCs w:val="0"/>
          <w:color w:val="000000" w:themeColor="text1"/>
          <w:sz w:val="32"/>
          <w:szCs w:val="32"/>
          <w:u w:val="none" w:color="auto"/>
          <w:lang w:val="en-US" w:eastAsia="zh-CN"/>
          <w14:textFill>
            <w14:solidFill>
              <w14:schemeClr w14:val="tx1"/>
            </w14:solidFill>
          </w14:textFill>
        </w:rPr>
        <w:t>坚持“应保尽保、应救尽救、应退尽退”原则，全面落实城乡低保、困难救助、特困供养、残疾人补贴等各类兜底保障政策。开展全民参保攻坚行动，</w:t>
      </w:r>
      <w:r>
        <w:rPr>
          <w:rFonts w:hint="eastAsia" w:ascii="仿宋_GB2312" w:hAnsi="仿宋_GB2312" w:eastAsia="仿宋_GB2312" w:cs="仿宋_GB2312"/>
          <w:color w:val="000000" w:themeColor="text1"/>
          <w:sz w:val="32"/>
          <w:szCs w:val="32"/>
          <w:u w:val="none" w:color="auto"/>
          <w:lang w:val="en-US" w:eastAsia="zh-CN"/>
          <w14:textFill>
            <w14:solidFill>
              <w14:schemeClr w14:val="tx1"/>
            </w14:solidFill>
          </w14:textFill>
        </w:rPr>
        <w:t>城乡居民养老保险、基本医疗保险参保缴费率分别达到99.5%、98.7%。医疗保险报销实现“一站式服务、一窗口办理、一单制结算”，民生保障更加坚实有力。</w:t>
      </w:r>
    </w:p>
    <w:p w14:paraId="654F07B0">
      <w:pPr>
        <w:keepNext w:val="0"/>
        <w:keepLines w:val="0"/>
        <w:pageBreakBefore w:val="0"/>
        <w:kinsoku/>
        <w:wordWrap/>
        <w:autoSpaceDE/>
        <w:autoSpaceDN/>
        <w:bidi w:val="0"/>
        <w:spacing w:line="560" w:lineRule="exact"/>
        <w:ind w:firstLine="643" w:firstLineChars="200"/>
        <w:textAlignment w:val="auto"/>
        <w:rPr>
          <w:rFonts w:hint="eastAsia" w:ascii="仿宋_GB2312" w:hAnsi="仿宋_GB2312" w:eastAsia="仿宋_GB2312" w:cs="仿宋_GB2312"/>
          <w:b w:val="0"/>
          <w:bCs w:val="0"/>
          <w:color w:val="000000" w:themeColor="text1"/>
          <w:sz w:val="32"/>
          <w:szCs w:val="32"/>
          <w:u w:val="none" w:color="auto"/>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u w:val="none" w:color="auto"/>
          <w:lang w:val="en-US" w:eastAsia="zh-CN"/>
          <w14:textFill>
            <w14:solidFill>
              <w14:schemeClr w14:val="tx1"/>
            </w14:solidFill>
          </w14:textFill>
        </w:rPr>
        <w:t>生态建设实现多元共治</w:t>
      </w:r>
      <w:r>
        <w:rPr>
          <w:rFonts w:hint="eastAsia" w:ascii="楷体_GB2312" w:hAnsi="楷体_GB2312" w:eastAsia="楷体_GB2312" w:cs="楷体_GB2312"/>
          <w:b/>
          <w:bCs/>
          <w:color w:val="000000" w:themeColor="text1"/>
          <w:sz w:val="32"/>
          <w:szCs w:val="32"/>
          <w:u w:val="none" w:color="auto"/>
          <w14:textFill>
            <w14:solidFill>
              <w14:schemeClr w14:val="tx1"/>
            </w14:solidFill>
          </w14:textFill>
        </w:rPr>
        <w:t>。</w:t>
      </w:r>
      <w:r>
        <w:rPr>
          <w:rFonts w:hint="eastAsia" w:ascii="仿宋_GB2312" w:hAnsi="仿宋_GB2312" w:eastAsia="仿宋_GB2312" w:cs="仿宋_GB2312"/>
          <w:color w:val="000000" w:themeColor="text1"/>
          <w:sz w:val="32"/>
          <w:szCs w:val="32"/>
          <w:u w:val="none" w:color="auto"/>
          <w:lang w:val="en-US" w:eastAsia="zh-CN"/>
          <w14:textFill>
            <w14:solidFill>
              <w14:schemeClr w14:val="tx1"/>
            </w14:solidFill>
          </w14:textFill>
        </w:rPr>
        <w:t>坚持生态优先、保护第一，统筹山水林田湖草沙冰一体化保护和系统治理，持续深入打好污染防治攻坚战，有序</w:t>
      </w:r>
      <w:r>
        <w:rPr>
          <w:rFonts w:hint="eastAsia" w:ascii="仿宋_GB2312" w:hAnsi="仿宋_GB2312" w:eastAsia="仿宋_GB2312" w:cs="仿宋_GB2312"/>
          <w:color w:val="000000" w:themeColor="text1"/>
          <w:sz w:val="32"/>
          <w:szCs w:val="32"/>
          <w:u w:val="none" w:color="auto"/>
          <w14:textFill>
            <w14:solidFill>
              <w14:schemeClr w14:val="tx1"/>
            </w14:solidFill>
          </w14:textFill>
        </w:rPr>
        <w:t>推进重点区域生态保护修复，</w:t>
      </w:r>
      <w:r>
        <w:rPr>
          <w:rFonts w:hint="eastAsia" w:ascii="仿宋_GB2312" w:hAnsi="仿宋_GB2312" w:eastAsia="仿宋_GB2312" w:cs="仿宋_GB2312"/>
          <w:color w:val="000000" w:themeColor="text1"/>
          <w:sz w:val="32"/>
          <w:szCs w:val="32"/>
          <w:u w:val="none" w:color="auto"/>
          <w:lang w:val="en-US" w:eastAsia="zh-CN"/>
          <w14:textFill>
            <w14:solidFill>
              <w14:schemeClr w14:val="tx1"/>
            </w14:solidFill>
          </w14:textFill>
        </w:rPr>
        <w:t>扎实开展国土绿化，全年</w:t>
      </w:r>
      <w:r>
        <w:rPr>
          <w:rFonts w:hint="eastAsia" w:ascii="仿宋_GB2312" w:hAnsi="仿宋_GB2312" w:eastAsia="仿宋_GB2312" w:cs="仿宋_GB2312"/>
          <w:color w:val="000000" w:themeColor="text1"/>
          <w:sz w:val="32"/>
          <w:szCs w:val="32"/>
          <w:u w:val="none" w:color="auto"/>
          <w14:textFill>
            <w14:solidFill>
              <w14:schemeClr w14:val="tx1"/>
            </w14:solidFill>
          </w14:textFill>
        </w:rPr>
        <w:t>新增绿化面积</w:t>
      </w:r>
      <w:r>
        <w:rPr>
          <w:rFonts w:hint="eastAsia" w:ascii="仿宋_GB2312" w:hAnsi="仿宋_GB2312" w:eastAsia="仿宋_GB2312" w:cs="仿宋_GB2312"/>
          <w:color w:val="000000" w:themeColor="text1"/>
          <w:sz w:val="32"/>
          <w:szCs w:val="32"/>
          <w:u w:val="none" w:color="auto"/>
          <w:lang w:val="en-US" w:eastAsia="zh-CN"/>
          <w14:textFill>
            <w14:solidFill>
              <w14:schemeClr w14:val="tx1"/>
            </w14:solidFill>
          </w14:textFill>
        </w:rPr>
        <w:t>1500</w:t>
      </w:r>
      <w:r>
        <w:rPr>
          <w:rFonts w:hint="eastAsia" w:ascii="仿宋_GB2312" w:hAnsi="仿宋_GB2312" w:eastAsia="仿宋_GB2312" w:cs="仿宋_GB2312"/>
          <w:color w:val="000000" w:themeColor="text1"/>
          <w:sz w:val="32"/>
          <w:szCs w:val="32"/>
          <w:u w:val="none" w:color="auto"/>
          <w14:textFill>
            <w14:solidFill>
              <w14:schemeClr w14:val="tx1"/>
            </w14:solidFill>
          </w14:textFill>
        </w:rPr>
        <w:t>亩</w:t>
      </w:r>
      <w:r>
        <w:rPr>
          <w:rFonts w:hint="eastAsia" w:ascii="仿宋_GB2312" w:hAnsi="仿宋_GB2312" w:eastAsia="仿宋_GB2312" w:cs="仿宋_GB2312"/>
          <w:color w:val="000000" w:themeColor="text1"/>
          <w:sz w:val="32"/>
          <w:szCs w:val="32"/>
          <w:u w:val="none" w:color="auto"/>
          <w:lang w:eastAsia="zh-CN"/>
          <w14:textFill>
            <w14:solidFill>
              <w14:schemeClr w14:val="tx1"/>
            </w14:solidFill>
          </w14:textFill>
        </w:rPr>
        <w:t>，</w:t>
      </w:r>
      <w:r>
        <w:rPr>
          <w:rFonts w:hint="eastAsia" w:ascii="仿宋_GB2312" w:hAnsi="仿宋_GB2312" w:eastAsia="仿宋_GB2312" w:cs="仿宋_GB2312"/>
          <w:color w:val="000000" w:themeColor="text1"/>
          <w:sz w:val="32"/>
          <w:szCs w:val="32"/>
          <w:u w:val="none" w:color="auto"/>
          <w:lang w:val="en-US" w:eastAsia="zh-CN"/>
          <w14:textFill>
            <w14:solidFill>
              <w14:schemeClr w14:val="tx1"/>
            </w14:solidFill>
          </w14:textFill>
        </w:rPr>
        <w:t>各级林河（湖）长开展巡林巡河巡湖4000余次。空气、水、土壤各项指标均持续向好。</w:t>
      </w:r>
      <w:r>
        <w:rPr>
          <w:rFonts w:hint="eastAsia" w:ascii="仿宋_GB2312" w:hAnsi="仿宋_GB2312" w:eastAsia="仿宋_GB2312" w:cs="仿宋_GB2312"/>
          <w:b w:val="0"/>
          <w:bCs w:val="0"/>
          <w:color w:val="000000" w:themeColor="text1"/>
          <w:sz w:val="32"/>
          <w:szCs w:val="32"/>
          <w:u w:val="none" w:color="auto"/>
          <w:lang w:val="en-US" w:eastAsia="zh-CN"/>
          <w14:textFill>
            <w14:solidFill>
              <w14:schemeClr w14:val="tx1"/>
            </w14:solidFill>
          </w14:textFill>
        </w:rPr>
        <w:t>深入实施城乡环境综合整治“百日攻坚”行动，建立健全环境综合整治考评奖惩机制和“145”常态化清洁机制，拆除违法建筑31处，整治垃圾乱堆乱倒点位17处，评选“文明卫生家庭”171户。白玛、然乌、郭庆、拉根4个乡（镇）34个村（社）通过2024年第三批自治区生态文明示范区命名。</w:t>
      </w:r>
    </w:p>
    <w:p w14:paraId="5E72789E">
      <w:pPr>
        <w:keepNext w:val="0"/>
        <w:keepLines w:val="0"/>
        <w:pageBreakBefore w:val="0"/>
        <w:kinsoku/>
        <w:wordWrap/>
        <w:autoSpaceDE/>
        <w:autoSpaceDN/>
        <w:bidi w:val="0"/>
        <w:spacing w:line="560" w:lineRule="exact"/>
        <w:ind w:firstLine="643" w:firstLineChars="200"/>
        <w:textAlignment w:val="auto"/>
        <w:rPr>
          <w:rFonts w:hint="eastAsia" w:ascii="仿宋_GB2312" w:hAnsi="仿宋_GB2312" w:eastAsia="仿宋_GB2312" w:cs="仿宋_GB2312"/>
          <w:b w:val="0"/>
          <w:bCs w:val="0"/>
          <w:color w:val="000000" w:themeColor="text1"/>
          <w:sz w:val="32"/>
          <w:szCs w:val="32"/>
          <w:u w:val="none" w:color="auto"/>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u w:val="none" w:color="auto"/>
          <w:lang w:val="en-US" w:eastAsia="zh-CN"/>
          <w14:textFill>
            <w14:solidFill>
              <w14:schemeClr w14:val="tx1"/>
            </w14:solidFill>
          </w14:textFill>
        </w:rPr>
        <w:t>兴边富民实现共建共享。</w:t>
      </w:r>
      <w:r>
        <w:rPr>
          <w:rFonts w:hint="eastAsia" w:ascii="仿宋_GB2312" w:hAnsi="仿宋_GB2312" w:eastAsia="仿宋_GB2312" w:cs="仿宋_GB2312"/>
          <w:b w:val="0"/>
          <w:bCs w:val="0"/>
          <w:color w:val="000000" w:themeColor="text1"/>
          <w:sz w:val="32"/>
          <w:szCs w:val="32"/>
          <w:u w:val="none" w:color="auto"/>
          <w:lang w:val="en-US" w:eastAsia="zh-CN"/>
          <w14:textFill>
            <w14:solidFill>
              <w14:schemeClr w14:val="tx1"/>
            </w14:solidFill>
          </w14:textFill>
        </w:rPr>
        <w:t>坚持把八宿工作摆进固边兴边大局统筹谋划，投入资金6037万元实施然乌镇、邦达镇军民融合供水工程。投入资金125万元为县武装部改善训练生活设施。积极开展抵边宣传，摸排意愿搬迁群众16户，招募拥军企业19家。开展各类“双拥”活动12场次，全面落实拥军优抚政策，“全国双拥模范县”创建工作取得积极进展。</w:t>
      </w:r>
    </w:p>
    <w:p w14:paraId="4AF64746">
      <w:pPr>
        <w:keepNext w:val="0"/>
        <w:keepLines w:val="0"/>
        <w:pageBreakBefore w:val="0"/>
        <w:kinsoku/>
        <w:wordWrap/>
        <w:autoSpaceDE/>
        <w:autoSpaceDN/>
        <w:bidi w:val="0"/>
        <w:spacing w:line="560" w:lineRule="exact"/>
        <w:ind w:firstLine="643" w:firstLineChars="200"/>
        <w:textAlignment w:val="auto"/>
        <w:rPr>
          <w:rFonts w:hint="eastAsia" w:ascii="仿宋_GB2312" w:hAnsi="仿宋_GB2312" w:eastAsia="仿宋_GB2312" w:cs="仿宋_GB2312"/>
          <w:b w:val="0"/>
          <w:bCs w:val="0"/>
          <w:color w:val="000000" w:themeColor="text1"/>
          <w:kern w:val="2"/>
          <w:sz w:val="32"/>
          <w:szCs w:val="32"/>
          <w:u w:val="none" w:color="auto"/>
          <w:lang w:val="en-US" w:eastAsia="zh-CN" w:bidi="ar-SA"/>
          <w14:textFill>
            <w14:solidFill>
              <w14:schemeClr w14:val="tx1"/>
            </w14:solidFill>
          </w14:textFill>
        </w:rPr>
      </w:pPr>
      <w:r>
        <w:rPr>
          <w:rFonts w:hint="eastAsia" w:ascii="楷体_GB2312" w:hAnsi="楷体_GB2312" w:eastAsia="楷体_GB2312" w:cs="楷体_GB2312"/>
          <w:b/>
          <w:bCs/>
          <w:color w:val="000000" w:themeColor="text1"/>
          <w:sz w:val="32"/>
          <w:szCs w:val="32"/>
          <w:u w:val="none" w:color="auto"/>
          <w:lang w:val="en-US" w:eastAsia="zh-CN"/>
          <w14:textFill>
            <w14:solidFill>
              <w14:schemeClr w14:val="tx1"/>
            </w14:solidFill>
          </w14:textFill>
        </w:rPr>
        <w:t>自身建设实现全面加强。</w:t>
      </w:r>
      <w:r>
        <w:rPr>
          <w:rFonts w:hint="eastAsia" w:ascii="仿宋_GB2312" w:hAnsi="仿宋_GB2312" w:eastAsia="仿宋_GB2312" w:cs="仿宋_GB2312"/>
          <w:b w:val="0"/>
          <w:bCs w:val="0"/>
          <w:color w:val="000000" w:themeColor="text1"/>
          <w:kern w:val="2"/>
          <w:sz w:val="32"/>
          <w:szCs w:val="32"/>
          <w:u w:val="none" w:color="auto"/>
          <w:lang w:val="en-US" w:eastAsia="zh-CN" w:bidi="ar-SA"/>
          <w14:textFill>
            <w14:solidFill>
              <w14:schemeClr w14:val="tx1"/>
            </w14:solidFill>
          </w14:textFill>
        </w:rPr>
        <w:t>坚持把政治建设摆在首位，坚持落实“第一议题”制度，不折不扣落实党中央重大决策部署和自治区、昌都市工作要求，忠诚拥护“两个确立”、坚决做到“两个维护”。坚持发扬全过程人民民主，认真落实民主集中制和“三重一大”集体决策制度，修订《县人民政府工作规则》，实行科学决策、民主决策、依法决策。自觉接受党内监督、人大监督、民主监督，向县委提交“三重一大”事项70余项，答复人大代表建议112条、办复政协委员提案55件，答办复率均为100%。纵深推进全面从严治党，扎实开展党纪学习教育，加强党风廉政和意识形态领域风险防范，加大审计监督力度，持续深化整治群众身边不正之风和腐败问题，给予党纪处分11人、政务处分8人。持之以恒改进作风，健全完善政务督办机制，开展政府系统领导干部“干了什么、干成了什么”总结活动，深化整治形式主义为基层减负，严格落实中央八项规定及其实施细则精神，制定《财务收支运行工作规则》，“三公”经费持续压减。始终聚焦群众急难愁盼，化解资源领域历史遗留问题24件，解决群众住房保障、工资拖欠、困难群体就业等问题200余件次。</w:t>
      </w:r>
    </w:p>
    <w:p w14:paraId="456D6DFB">
      <w:pPr>
        <w:keepNext w:val="0"/>
        <w:keepLines w:val="0"/>
        <w:pageBreakBefore w:val="0"/>
        <w:kinsoku/>
        <w:wordWrap/>
        <w:autoSpaceDE/>
        <w:autoSpaceDN/>
        <w:bidi w:val="0"/>
        <w:spacing w:line="560" w:lineRule="exact"/>
        <w:ind w:firstLine="640" w:firstLineChars="200"/>
        <w:textAlignment w:val="auto"/>
        <w:rPr>
          <w:rFonts w:hint="eastAsia" w:ascii="仿宋_GB2312" w:hAnsi="仿宋_GB2312" w:eastAsia="仿宋_GB2312" w:cs="仿宋_GB2312"/>
          <w:color w:val="000000" w:themeColor="text1"/>
          <w:sz w:val="32"/>
          <w:szCs w:val="32"/>
          <w:u w:val="none" w:color="auto"/>
          <w14:textFill>
            <w14:solidFill>
              <w14:schemeClr w14:val="tx1"/>
            </w14:solidFill>
          </w14:textFill>
        </w:rPr>
      </w:pPr>
      <w:r>
        <w:rPr>
          <w:rFonts w:hint="eastAsia" w:ascii="仿宋_GB2312" w:hAnsi="仿宋_GB2312" w:eastAsia="仿宋_GB2312" w:cs="仿宋_GB2312"/>
          <w:color w:val="000000" w:themeColor="text1"/>
          <w:sz w:val="32"/>
          <w:szCs w:val="32"/>
          <w:u w:val="none" w:color="auto"/>
          <w14:textFill>
            <w14:solidFill>
              <w14:schemeClr w14:val="tx1"/>
            </w14:solidFill>
          </w14:textFill>
        </w:rPr>
        <w:t>与此同时，消防、地震、气象、邮政、藏语言文字</w:t>
      </w:r>
      <w:r>
        <w:rPr>
          <w:rFonts w:hint="eastAsia" w:ascii="仿宋_GB2312" w:hAnsi="仿宋_GB2312" w:eastAsia="仿宋_GB2312" w:cs="仿宋_GB2312"/>
          <w:color w:val="000000" w:themeColor="text1"/>
          <w:sz w:val="32"/>
          <w:szCs w:val="32"/>
          <w:u w:val="none" w:color="auto"/>
          <w:lang w:eastAsia="zh-CN"/>
          <w14:textFill>
            <w14:solidFill>
              <w14:schemeClr w14:val="tx1"/>
            </w14:solidFill>
          </w14:textFill>
        </w:rPr>
        <w:t>、</w:t>
      </w:r>
      <w:r>
        <w:rPr>
          <w:rFonts w:hint="eastAsia" w:ascii="仿宋_GB2312" w:hAnsi="仿宋_GB2312" w:eastAsia="仿宋_GB2312" w:cs="仿宋_GB2312"/>
          <w:color w:val="000000" w:themeColor="text1"/>
          <w:sz w:val="32"/>
          <w:szCs w:val="32"/>
          <w:u w:val="none" w:color="auto"/>
          <w14:textFill>
            <w14:solidFill>
              <w14:schemeClr w14:val="tx1"/>
            </w14:solidFill>
          </w14:textFill>
        </w:rPr>
        <w:t>工会、共青团、妇女儿童、残联、工商联、慈善等事业</w:t>
      </w:r>
      <w:r>
        <w:rPr>
          <w:rFonts w:hint="eastAsia" w:ascii="仿宋_GB2312" w:hAnsi="仿宋_GB2312" w:eastAsia="仿宋_GB2312" w:cs="仿宋_GB2312"/>
          <w:color w:val="000000" w:themeColor="text1"/>
          <w:sz w:val="32"/>
          <w:szCs w:val="32"/>
          <w:u w:val="none" w:color="auto"/>
          <w:lang w:val="en-US" w:eastAsia="zh-CN"/>
          <w14:textFill>
            <w14:solidFill>
              <w14:schemeClr w14:val="tx1"/>
            </w14:solidFill>
          </w14:textFill>
        </w:rPr>
        <w:t>得到</w:t>
      </w:r>
      <w:r>
        <w:rPr>
          <w:rFonts w:hint="eastAsia" w:ascii="仿宋_GB2312" w:hAnsi="仿宋_GB2312" w:eastAsia="仿宋_GB2312" w:cs="仿宋_GB2312"/>
          <w:color w:val="000000" w:themeColor="text1"/>
          <w:sz w:val="32"/>
          <w:szCs w:val="32"/>
          <w:u w:val="none" w:color="auto"/>
          <w14:textFill>
            <w14:solidFill>
              <w14:schemeClr w14:val="tx1"/>
            </w14:solidFill>
          </w14:textFill>
        </w:rPr>
        <w:t>全面发展。</w:t>
      </w:r>
    </w:p>
    <w:p w14:paraId="23058C6D">
      <w:pPr>
        <w:pStyle w:val="2"/>
        <w:keepNext w:val="0"/>
        <w:keepLines w:val="0"/>
        <w:pageBreakBefore w:val="0"/>
        <w:kinsoku/>
        <w:wordWrap/>
        <w:autoSpaceDE/>
        <w:autoSpaceDN/>
        <w:bidi w:val="0"/>
        <w:spacing w:line="560" w:lineRule="exact"/>
        <w:textAlignment w:val="auto"/>
        <w:rPr>
          <w:rFonts w:hint="eastAsia" w:ascii="仿宋_GB2312" w:hAnsi="仿宋_GB2312" w:eastAsia="仿宋_GB2312" w:cs="仿宋_GB2312"/>
          <w:b w:val="0"/>
          <w:bCs w:val="0"/>
          <w:color w:val="000000" w:themeColor="text1"/>
          <w:kern w:val="2"/>
          <w:sz w:val="32"/>
          <w:szCs w:val="32"/>
          <w:u w:val="none" w:color="auto"/>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u w:val="none" w:color="auto"/>
          <w:lang w:val="en-US" w:eastAsia="zh-CN" w:bidi="ar-SA"/>
          <w14:textFill>
            <w14:solidFill>
              <w14:schemeClr w14:val="tx1"/>
            </w14:solidFill>
          </w14:textFill>
        </w:rPr>
        <w:t>各位代表！</w:t>
      </w:r>
      <w:r>
        <w:rPr>
          <w:rFonts w:hint="eastAsia" w:ascii="仿宋_GB2312" w:hAnsi="仿宋_GB2312" w:eastAsia="仿宋_GB2312" w:cs="仿宋_GB2312"/>
          <w:b w:val="0"/>
          <w:bCs w:val="0"/>
          <w:color w:val="000000" w:themeColor="text1"/>
          <w:kern w:val="2"/>
          <w:sz w:val="32"/>
          <w:szCs w:val="32"/>
          <w:u w:val="none" w:color="auto"/>
          <w:lang w:val="en-US" w:eastAsia="zh-CN" w:bidi="ar-SA"/>
          <w14:textFill>
            <w14:solidFill>
              <w14:schemeClr w14:val="tx1"/>
            </w14:solidFill>
          </w14:textFill>
        </w:rPr>
        <w:t>回望过去一年，我们在攻坚克难中实现了经济较快增长，在复杂多变的环境中高质量完成了年度目标任务，奋斗充满艰辛，成绩来之不易。这是习近平新时代中国特色社会主义思想科学指引的结果，是自治区党委政府、市委市政府及县委正确领导的结果，</w:t>
      </w:r>
      <w:r>
        <w:rPr>
          <w:rFonts w:hint="eastAsia" w:ascii="仿宋_GB2312" w:hAnsi="仿宋_GB2312" w:eastAsia="仿宋_GB2312" w:cs="仿宋_GB2312"/>
          <w:b w:val="0"/>
          <w:bCs w:val="0"/>
          <w:color w:val="000000" w:themeColor="text1"/>
          <w:sz w:val="32"/>
          <w:szCs w:val="32"/>
          <w:u w:val="none" w:color="auto"/>
          <w:lang w:val="en-US" w:eastAsia="zh-CN"/>
          <w14:textFill>
            <w14:solidFill>
              <w14:schemeClr w14:val="tx1"/>
            </w14:solidFill>
          </w14:textFill>
        </w:rPr>
        <w:t>是对口援八省市企业无私援助和</w:t>
      </w:r>
      <w:r>
        <w:rPr>
          <w:rFonts w:hint="eastAsia" w:ascii="仿宋_GB2312" w:hAnsi="仿宋_GB2312" w:eastAsia="仿宋_GB2312" w:cs="仿宋_GB2312"/>
          <w:b w:val="0"/>
          <w:bCs w:val="0"/>
          <w:color w:val="000000" w:themeColor="text1"/>
          <w:kern w:val="2"/>
          <w:sz w:val="32"/>
          <w:szCs w:val="32"/>
          <w:u w:val="none" w:color="auto"/>
          <w:lang w:val="en-US" w:eastAsia="zh-CN" w:bidi="ar-SA"/>
          <w14:textFill>
            <w14:solidFill>
              <w14:schemeClr w14:val="tx1"/>
            </w14:solidFill>
          </w14:textFill>
        </w:rPr>
        <w:t>全县广大干部群众团结一心、拼搏奋斗的结果。在此，我代表县人民政府，向全县人民，向各位人大代表、政协委员，向奋战在全县各行各业、各条战线的干部群众、离退休老同志，向驻八部队、武警官兵、消防指战员、公安干警，向对口援八省市企业以及所有关心支持八宿改革发展稳定事业的各界人士，表示诚挚的感谢！</w:t>
      </w:r>
    </w:p>
    <w:p w14:paraId="782F6E9C">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sz w:val="32"/>
          <w:szCs w:val="32"/>
          <w:u w:val="none" w:color="auto"/>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u w:val="none" w:color="auto"/>
          <w14:textFill>
            <w14:solidFill>
              <w14:schemeClr w14:val="tx1"/>
            </w14:solidFill>
          </w14:textFill>
        </w:rPr>
        <w:t>在</w:t>
      </w:r>
      <w:r>
        <w:rPr>
          <w:rFonts w:hint="eastAsia" w:ascii="仿宋_GB2312" w:hAnsi="仿宋_GB2312" w:eastAsia="仿宋_GB2312" w:cs="仿宋_GB2312"/>
          <w:color w:val="000000" w:themeColor="text1"/>
          <w:sz w:val="32"/>
          <w:szCs w:val="32"/>
          <w:u w:val="none" w:color="auto"/>
          <w:lang w:val="en-US" w:eastAsia="zh-CN"/>
          <w14:textFill>
            <w14:solidFill>
              <w14:schemeClr w14:val="tx1"/>
            </w14:solidFill>
          </w14:textFill>
        </w:rPr>
        <w:t>总结</w:t>
      </w:r>
      <w:r>
        <w:rPr>
          <w:rFonts w:hint="eastAsia" w:ascii="仿宋_GB2312" w:hAnsi="仿宋_GB2312" w:eastAsia="仿宋_GB2312" w:cs="仿宋_GB2312"/>
          <w:color w:val="000000" w:themeColor="text1"/>
          <w:sz w:val="32"/>
          <w:szCs w:val="32"/>
          <w:u w:val="none" w:color="auto"/>
          <w14:textFill>
            <w14:solidFill>
              <w14:schemeClr w14:val="tx1"/>
            </w14:solidFill>
          </w14:textFill>
        </w:rPr>
        <w:t>成绩的同时，</w:t>
      </w:r>
      <w:r>
        <w:rPr>
          <w:rFonts w:hint="eastAsia" w:ascii="仿宋_GB2312" w:hAnsi="仿宋_GB2312" w:eastAsia="仿宋_GB2312" w:cs="仿宋_GB2312"/>
          <w:color w:val="000000" w:themeColor="text1"/>
          <w:sz w:val="32"/>
          <w:szCs w:val="32"/>
          <w:u w:val="none" w:color="auto"/>
          <w:lang w:val="en-US" w:eastAsia="zh-CN"/>
          <w14:textFill>
            <w14:solidFill>
              <w14:schemeClr w14:val="tx1"/>
            </w14:solidFill>
          </w14:textFill>
        </w:rPr>
        <w:t>我们也</w:t>
      </w:r>
      <w:r>
        <w:rPr>
          <w:rFonts w:hint="eastAsia" w:ascii="仿宋_GB2312" w:hAnsi="仿宋_GB2312" w:eastAsia="仿宋_GB2312" w:cs="仿宋_GB2312"/>
          <w:color w:val="000000" w:themeColor="text1"/>
          <w:sz w:val="32"/>
          <w:szCs w:val="32"/>
          <w:u w:val="none" w:color="auto"/>
          <w14:textFill>
            <w14:solidFill>
              <w14:schemeClr w14:val="tx1"/>
            </w14:solidFill>
          </w14:textFill>
        </w:rPr>
        <w:t>要清醒地认识到，当前我县发展还面临一些困难和问题。</w:t>
      </w:r>
      <w:r>
        <w:rPr>
          <w:rFonts w:hint="eastAsia" w:ascii="仿宋_GB2312" w:hAnsi="仿宋_GB2312" w:eastAsia="仿宋_GB2312" w:cs="仿宋_GB2312"/>
          <w:b/>
          <w:bCs/>
          <w:color w:val="000000" w:themeColor="text1"/>
          <w:sz w:val="32"/>
          <w:szCs w:val="32"/>
          <w:u w:val="none" w:color="auto"/>
          <w14:textFill>
            <w14:solidFill>
              <w14:schemeClr w14:val="tx1"/>
            </w14:solidFill>
          </w14:textFill>
        </w:rPr>
        <w:t>主要表现在：</w:t>
      </w:r>
      <w:r>
        <w:rPr>
          <w:rFonts w:hint="eastAsia" w:ascii="仿宋_GB2312" w:hAnsi="仿宋_GB2312" w:eastAsia="仿宋_GB2312" w:cs="仿宋_GB2312"/>
          <w:color w:val="000000" w:themeColor="text1"/>
          <w:sz w:val="32"/>
          <w:szCs w:val="32"/>
          <w:u w:val="none" w:color="auto"/>
          <w:lang w:val="en-US" w:eastAsia="zh-CN"/>
          <w14:textFill>
            <w14:solidFill>
              <w14:schemeClr w14:val="tx1"/>
            </w14:solidFill>
          </w14:textFill>
        </w:rPr>
        <w:t>影响</w:t>
      </w:r>
      <w:r>
        <w:rPr>
          <w:rFonts w:hint="eastAsia" w:ascii="仿宋_GB2312" w:hAnsi="仿宋_GB2312" w:eastAsia="仿宋_GB2312" w:cs="仿宋_GB2312"/>
          <w:color w:val="000000" w:themeColor="text1"/>
          <w:sz w:val="32"/>
          <w:szCs w:val="32"/>
          <w:u w:val="none" w:color="auto"/>
          <w14:textFill>
            <w14:solidFill>
              <w14:schemeClr w14:val="tx1"/>
            </w14:solidFill>
          </w14:textFill>
        </w:rPr>
        <w:t>社会大局稳定</w:t>
      </w:r>
      <w:r>
        <w:rPr>
          <w:rFonts w:hint="eastAsia" w:ascii="仿宋_GB2312" w:hAnsi="仿宋_GB2312" w:eastAsia="仿宋_GB2312" w:cs="仿宋_GB2312"/>
          <w:color w:val="000000" w:themeColor="text1"/>
          <w:sz w:val="32"/>
          <w:szCs w:val="32"/>
          <w:u w:val="none" w:color="auto"/>
          <w:lang w:val="en-US" w:eastAsia="zh-CN"/>
          <w14:textFill>
            <w14:solidFill>
              <w14:schemeClr w14:val="tx1"/>
            </w14:solidFill>
          </w14:textFill>
        </w:rPr>
        <w:t>的不可控因素仍然存在；</w:t>
      </w:r>
      <w:r>
        <w:rPr>
          <w:rFonts w:hint="eastAsia" w:ascii="仿宋_GB2312" w:hAnsi="仿宋_GB2312" w:eastAsia="仿宋_GB2312" w:cs="仿宋_GB2312"/>
          <w:color w:val="000000" w:themeColor="text1"/>
          <w:sz w:val="32"/>
          <w:szCs w:val="32"/>
          <w:u w:val="none" w:color="auto"/>
          <w14:textFill>
            <w14:solidFill>
              <w14:schemeClr w14:val="tx1"/>
            </w14:solidFill>
          </w14:textFill>
        </w:rPr>
        <w:t>经济总量较小，产业结构</w:t>
      </w:r>
      <w:r>
        <w:rPr>
          <w:rFonts w:hint="eastAsia" w:ascii="仿宋_GB2312" w:hAnsi="仿宋_GB2312" w:eastAsia="仿宋_GB2312" w:cs="仿宋_GB2312"/>
          <w:color w:val="000000" w:themeColor="text1"/>
          <w:sz w:val="32"/>
          <w:szCs w:val="32"/>
          <w:u w:val="none" w:color="auto"/>
          <w:lang w:val="en-US" w:eastAsia="zh-CN"/>
          <w14:textFill>
            <w14:solidFill>
              <w14:schemeClr w14:val="tx1"/>
            </w14:solidFill>
          </w14:textFill>
        </w:rPr>
        <w:t>不</w:t>
      </w:r>
      <w:r>
        <w:rPr>
          <w:rFonts w:hint="eastAsia" w:ascii="仿宋_GB2312" w:hAnsi="仿宋_GB2312" w:eastAsia="仿宋_GB2312" w:cs="仿宋_GB2312"/>
          <w:color w:val="000000" w:themeColor="text1"/>
          <w:sz w:val="32"/>
          <w:szCs w:val="32"/>
          <w:u w:val="none" w:color="auto"/>
          <w14:textFill>
            <w14:solidFill>
              <w14:schemeClr w14:val="tx1"/>
            </w14:solidFill>
          </w14:textFill>
        </w:rPr>
        <w:t>优，龙头企业缺乏、工业经济发展相对滞后</w:t>
      </w:r>
      <w:r>
        <w:rPr>
          <w:rFonts w:hint="eastAsia" w:ascii="仿宋_GB2312" w:hAnsi="仿宋_GB2312" w:eastAsia="仿宋_GB2312" w:cs="仿宋_GB2312"/>
          <w:color w:val="000000" w:themeColor="text1"/>
          <w:sz w:val="32"/>
          <w:szCs w:val="32"/>
          <w:u w:val="none" w:color="auto"/>
          <w:lang w:eastAsia="zh-CN"/>
          <w14:textFill>
            <w14:solidFill>
              <w14:schemeClr w14:val="tx1"/>
            </w14:solidFill>
          </w14:textFill>
        </w:rPr>
        <w:t>；</w:t>
      </w:r>
      <w:r>
        <w:rPr>
          <w:rFonts w:hint="eastAsia" w:ascii="仿宋_GB2312" w:hAnsi="仿宋_GB2312" w:eastAsia="仿宋_GB2312" w:cs="仿宋_GB2312"/>
          <w:color w:val="000000" w:themeColor="text1"/>
          <w:sz w:val="32"/>
          <w:szCs w:val="32"/>
          <w:u w:val="none" w:color="auto"/>
          <w14:textFill>
            <w14:solidFill>
              <w14:schemeClr w14:val="tx1"/>
            </w14:solidFill>
          </w14:textFill>
        </w:rPr>
        <w:t>基础设施建设仍</w:t>
      </w:r>
      <w:r>
        <w:rPr>
          <w:rFonts w:hint="eastAsia" w:ascii="仿宋_GB2312" w:hAnsi="仿宋_GB2312" w:eastAsia="仿宋_GB2312" w:cs="仿宋_GB2312"/>
          <w:color w:val="000000" w:themeColor="text1"/>
          <w:sz w:val="32"/>
          <w:szCs w:val="32"/>
          <w:u w:val="none" w:color="auto"/>
          <w:lang w:val="en-US" w:eastAsia="zh-CN"/>
          <w14:textFill>
            <w14:solidFill>
              <w14:schemeClr w14:val="tx1"/>
            </w14:solidFill>
          </w14:textFill>
        </w:rPr>
        <w:t>存在</w:t>
      </w:r>
      <w:r>
        <w:rPr>
          <w:rFonts w:hint="eastAsia" w:ascii="仿宋_GB2312" w:hAnsi="仿宋_GB2312" w:eastAsia="仿宋_GB2312" w:cs="仿宋_GB2312"/>
          <w:color w:val="000000" w:themeColor="text1"/>
          <w:sz w:val="32"/>
          <w:szCs w:val="32"/>
          <w:u w:val="none" w:color="auto"/>
          <w14:textFill>
            <w14:solidFill>
              <w14:schemeClr w14:val="tx1"/>
            </w14:solidFill>
          </w14:textFill>
        </w:rPr>
        <w:t>短板</w:t>
      </w:r>
      <w:r>
        <w:rPr>
          <w:rFonts w:hint="eastAsia" w:ascii="仿宋_GB2312" w:hAnsi="仿宋_GB2312" w:eastAsia="仿宋_GB2312" w:cs="仿宋_GB2312"/>
          <w:color w:val="000000" w:themeColor="text1"/>
          <w:sz w:val="32"/>
          <w:szCs w:val="32"/>
          <w:u w:val="none" w:color="auto"/>
          <w:lang w:eastAsia="zh-CN"/>
          <w14:textFill>
            <w14:solidFill>
              <w14:schemeClr w14:val="tx1"/>
            </w14:solidFill>
          </w14:textFill>
        </w:rPr>
        <w:t>；</w:t>
      </w:r>
      <w:r>
        <w:rPr>
          <w:rFonts w:hint="eastAsia" w:ascii="仿宋_GB2312" w:hAnsi="仿宋_GB2312" w:eastAsia="仿宋_GB2312" w:cs="仿宋_GB2312"/>
          <w:color w:val="000000" w:themeColor="text1"/>
          <w:sz w:val="32"/>
          <w:szCs w:val="32"/>
          <w:u w:val="none" w:color="auto"/>
          <w:lang w:val="en-US" w:eastAsia="zh-CN"/>
          <w14:textFill>
            <w14:solidFill>
              <w14:schemeClr w14:val="tx1"/>
            </w14:solidFill>
          </w14:textFill>
        </w:rPr>
        <w:t>财税增长动能不足，加之教育“三包”、“六稳六保”及债务还本付息、重大战略任务和重点领域等刚性支出需求持续增长，导致财政收支矛盾较为突出；增收工作后劲乏力；</w:t>
      </w:r>
      <w:r>
        <w:rPr>
          <w:rFonts w:hint="eastAsia" w:ascii="仿宋_GB2312" w:hAnsi="仿宋_GB2312" w:eastAsia="仿宋_GB2312" w:cs="仿宋_GB2312"/>
          <w:color w:val="000000" w:themeColor="text1"/>
          <w:sz w:val="32"/>
          <w:szCs w:val="32"/>
          <w:u w:val="none" w:color="auto"/>
          <w14:textFill>
            <w14:solidFill>
              <w14:schemeClr w14:val="tx1"/>
            </w14:solidFill>
          </w14:textFill>
        </w:rPr>
        <w:t>可持续发展能力有待进一步提高</w:t>
      </w:r>
      <w:r>
        <w:rPr>
          <w:rFonts w:hint="eastAsia" w:ascii="仿宋_GB2312" w:hAnsi="仿宋_GB2312" w:eastAsia="仿宋_GB2312" w:cs="仿宋_GB2312"/>
          <w:color w:val="000000" w:themeColor="text1"/>
          <w:sz w:val="32"/>
          <w:szCs w:val="32"/>
          <w:u w:val="none" w:color="auto"/>
          <w:lang w:eastAsia="zh-CN"/>
          <w14:textFill>
            <w14:solidFill>
              <w14:schemeClr w14:val="tx1"/>
            </w14:solidFill>
          </w14:textFill>
        </w:rPr>
        <w:t>；</w:t>
      </w:r>
      <w:r>
        <w:rPr>
          <w:rFonts w:hint="eastAsia" w:ascii="仿宋_GB2312" w:hAnsi="仿宋_GB2312" w:eastAsia="仿宋_GB2312" w:cs="仿宋_GB2312"/>
          <w:color w:val="000000" w:themeColor="text1"/>
          <w:sz w:val="32"/>
          <w:szCs w:val="32"/>
          <w:u w:val="none" w:color="auto"/>
          <w:lang w:val="en-US" w:eastAsia="zh-CN"/>
          <w14:textFill>
            <w14:solidFill>
              <w14:schemeClr w14:val="tx1"/>
            </w14:solidFill>
          </w14:textFill>
        </w:rPr>
        <w:t>个别干部思想观念、担当意识、能力素养还不能很好适应新发展要求等。</w:t>
      </w:r>
      <w:r>
        <w:rPr>
          <w:rFonts w:hint="eastAsia" w:ascii="仿宋_GB2312" w:hAnsi="仿宋_GB2312" w:eastAsia="仿宋_GB2312" w:cs="仿宋_GB2312"/>
          <w:color w:val="000000" w:themeColor="text1"/>
          <w:sz w:val="32"/>
          <w:szCs w:val="32"/>
          <w:u w:val="none" w:color="auto"/>
          <w14:textFill>
            <w14:solidFill>
              <w14:schemeClr w14:val="tx1"/>
            </w14:solidFill>
          </w14:textFill>
        </w:rPr>
        <w:t>对此，全县上下务必高度重视</w:t>
      </w:r>
      <w:r>
        <w:rPr>
          <w:rFonts w:hint="eastAsia" w:ascii="仿宋_GB2312" w:hAnsi="仿宋_GB2312" w:eastAsia="仿宋_GB2312" w:cs="仿宋_GB2312"/>
          <w:color w:val="000000" w:themeColor="text1"/>
          <w:sz w:val="32"/>
          <w:szCs w:val="32"/>
          <w:u w:val="none" w:color="auto"/>
          <w:lang w:eastAsia="zh-CN"/>
          <w14:textFill>
            <w14:solidFill>
              <w14:schemeClr w14:val="tx1"/>
            </w14:solidFill>
          </w14:textFill>
        </w:rPr>
        <w:t>、</w:t>
      </w:r>
      <w:r>
        <w:rPr>
          <w:rFonts w:hint="eastAsia" w:ascii="仿宋_GB2312" w:hAnsi="仿宋_GB2312" w:eastAsia="仿宋_GB2312" w:cs="仿宋_GB2312"/>
          <w:color w:val="000000" w:themeColor="text1"/>
          <w:sz w:val="32"/>
          <w:szCs w:val="32"/>
          <w:u w:val="none" w:color="auto"/>
          <w14:textFill>
            <w14:solidFill>
              <w14:schemeClr w14:val="tx1"/>
            </w14:solidFill>
          </w14:textFill>
        </w:rPr>
        <w:t>科学研判、正确施策，立足实际</w:t>
      </w:r>
      <w:r>
        <w:rPr>
          <w:rFonts w:hint="eastAsia" w:ascii="仿宋_GB2312" w:hAnsi="仿宋_GB2312" w:eastAsia="仿宋_GB2312" w:cs="仿宋_GB2312"/>
          <w:color w:val="000000" w:themeColor="text1"/>
          <w:sz w:val="32"/>
          <w:szCs w:val="32"/>
          <w:u w:val="none" w:color="auto"/>
          <w:lang w:eastAsia="zh-CN"/>
          <w14:textFill>
            <w14:solidFill>
              <w14:schemeClr w14:val="tx1"/>
            </w14:solidFill>
          </w14:textFill>
        </w:rPr>
        <w:t>、</w:t>
      </w:r>
      <w:r>
        <w:rPr>
          <w:rFonts w:hint="eastAsia" w:ascii="仿宋_GB2312" w:hAnsi="仿宋_GB2312" w:eastAsia="仿宋_GB2312" w:cs="仿宋_GB2312"/>
          <w:color w:val="000000" w:themeColor="text1"/>
          <w:sz w:val="32"/>
          <w:szCs w:val="32"/>
          <w:u w:val="none" w:color="auto"/>
          <w:lang w:val="en-US" w:eastAsia="zh-CN"/>
          <w14:textFill>
            <w14:solidFill>
              <w14:schemeClr w14:val="tx1"/>
            </w14:solidFill>
          </w14:textFill>
        </w:rPr>
        <w:t>拿出硬招、逐项破解，</w:t>
      </w:r>
      <w:r>
        <w:rPr>
          <w:rFonts w:hint="eastAsia" w:ascii="仿宋_GB2312" w:hAnsi="仿宋_GB2312" w:eastAsia="仿宋_GB2312" w:cs="仿宋_GB2312"/>
          <w:color w:val="000000" w:themeColor="text1"/>
          <w:sz w:val="32"/>
          <w:szCs w:val="32"/>
          <w:u w:val="none" w:color="auto"/>
          <w14:textFill>
            <w14:solidFill>
              <w14:schemeClr w14:val="tx1"/>
            </w14:solidFill>
          </w14:textFill>
        </w:rPr>
        <w:t>努力推动</w:t>
      </w:r>
      <w:r>
        <w:rPr>
          <w:rFonts w:hint="eastAsia" w:ascii="仿宋_GB2312" w:hAnsi="仿宋_GB2312" w:eastAsia="仿宋_GB2312" w:cs="仿宋_GB2312"/>
          <w:color w:val="000000" w:themeColor="text1"/>
          <w:sz w:val="32"/>
          <w:szCs w:val="32"/>
          <w:u w:val="none" w:color="auto"/>
          <w:lang w:val="en-US" w:eastAsia="zh-CN"/>
          <w14:textFill>
            <w14:solidFill>
              <w14:schemeClr w14:val="tx1"/>
            </w14:solidFill>
          </w14:textFill>
        </w:rPr>
        <w:t>八宿长治久安和</w:t>
      </w:r>
      <w:r>
        <w:rPr>
          <w:rFonts w:hint="eastAsia" w:ascii="仿宋_GB2312" w:hAnsi="仿宋_GB2312" w:eastAsia="仿宋_GB2312" w:cs="仿宋_GB2312"/>
          <w:color w:val="000000" w:themeColor="text1"/>
          <w:sz w:val="32"/>
          <w:szCs w:val="32"/>
          <w:u w:val="none" w:color="auto"/>
          <w14:textFill>
            <w14:solidFill>
              <w14:schemeClr w14:val="tx1"/>
            </w14:solidFill>
          </w14:textFill>
        </w:rPr>
        <w:t>经济社会高质量发展</w:t>
      </w:r>
      <w:r>
        <w:rPr>
          <w:rFonts w:hint="eastAsia" w:ascii="仿宋_GB2312" w:hAnsi="仿宋_GB2312" w:eastAsia="仿宋_GB2312" w:cs="仿宋_GB2312"/>
          <w:color w:val="000000" w:themeColor="text1"/>
          <w:sz w:val="32"/>
          <w:szCs w:val="32"/>
          <w:u w:val="none" w:color="auto"/>
          <w:lang w:eastAsia="zh-CN"/>
          <w14:textFill>
            <w14:solidFill>
              <w14:schemeClr w14:val="tx1"/>
            </w14:solidFill>
          </w14:textFill>
        </w:rPr>
        <w:t>，</w:t>
      </w:r>
      <w:r>
        <w:rPr>
          <w:rFonts w:hint="eastAsia" w:ascii="仿宋_GB2312" w:hAnsi="仿宋_GB2312" w:eastAsia="仿宋_GB2312" w:cs="仿宋_GB2312"/>
          <w:color w:val="000000" w:themeColor="text1"/>
          <w:sz w:val="32"/>
          <w:szCs w:val="32"/>
          <w:u w:val="none" w:color="auto"/>
          <w:lang w:val="en-US" w:eastAsia="zh-CN"/>
          <w14:textFill>
            <w14:solidFill>
              <w14:schemeClr w14:val="tx1"/>
            </w14:solidFill>
          </w14:textFill>
        </w:rPr>
        <w:t>决不辜负全县人民的重托和期待！</w:t>
      </w:r>
    </w:p>
    <w:p w14:paraId="5C3ABF49">
      <w:pPr>
        <w:keepNext w:val="0"/>
        <w:keepLines w:val="0"/>
        <w:pageBreakBefore w:val="0"/>
        <w:widowControl w:val="0"/>
        <w:kinsoku/>
        <w:wordWrap/>
        <w:topLinePunct w:val="0"/>
        <w:autoSpaceDE/>
        <w:autoSpaceDN/>
        <w:bidi w:val="0"/>
        <w:adjustRightInd/>
        <w:snapToGrid/>
        <w:spacing w:afterAutospacing="0" w:line="560" w:lineRule="exact"/>
        <w:jc w:val="center"/>
        <w:textAlignment w:val="auto"/>
        <w:rPr>
          <w:rFonts w:hint="eastAsia" w:ascii="黑体" w:hAnsi="黑体" w:eastAsia="黑体" w:cs="黑体"/>
          <w:color w:val="000000" w:themeColor="text1"/>
          <w:kern w:val="2"/>
          <w:sz w:val="36"/>
          <w:szCs w:val="36"/>
          <w:u w:val="none" w:color="auto"/>
          <w:lang w:val="en-US" w:eastAsia="zh-CN" w:bidi="ar-SA"/>
          <w14:textFill>
            <w14:solidFill>
              <w14:schemeClr w14:val="tx1"/>
            </w14:solidFill>
          </w14:textFill>
        </w:rPr>
      </w:pPr>
    </w:p>
    <w:p w14:paraId="413D5415">
      <w:pPr>
        <w:keepNext w:val="0"/>
        <w:keepLines w:val="0"/>
        <w:pageBreakBefore w:val="0"/>
        <w:widowControl w:val="0"/>
        <w:kinsoku/>
        <w:wordWrap/>
        <w:topLinePunct w:val="0"/>
        <w:autoSpaceDE/>
        <w:autoSpaceDN/>
        <w:bidi w:val="0"/>
        <w:adjustRightInd/>
        <w:snapToGrid/>
        <w:spacing w:afterAutospacing="0" w:line="560" w:lineRule="exact"/>
        <w:jc w:val="center"/>
        <w:textAlignment w:val="auto"/>
        <w:rPr>
          <w:rFonts w:hint="eastAsia"/>
          <w:color w:val="000000" w:themeColor="text1"/>
          <w:sz w:val="24"/>
          <w:szCs w:val="22"/>
          <w:u w:val="none" w:color="auto"/>
          <w:lang w:val="en-US" w:eastAsia="zh-CN"/>
          <w14:textFill>
            <w14:solidFill>
              <w14:schemeClr w14:val="tx1"/>
            </w14:solidFill>
          </w14:textFill>
        </w:rPr>
      </w:pPr>
      <w:r>
        <w:rPr>
          <w:rFonts w:hint="eastAsia" w:ascii="黑体" w:hAnsi="黑体" w:eastAsia="黑体" w:cs="黑体"/>
          <w:color w:val="000000" w:themeColor="text1"/>
          <w:kern w:val="2"/>
          <w:sz w:val="36"/>
          <w:szCs w:val="36"/>
          <w:u w:val="none" w:color="auto"/>
          <w:lang w:val="en-US" w:eastAsia="zh-CN" w:bidi="ar-SA"/>
          <w14:textFill>
            <w14:solidFill>
              <w14:schemeClr w14:val="tx1"/>
            </w14:solidFill>
          </w14:textFill>
        </w:rPr>
        <w:t>2025年重点工作</w:t>
      </w:r>
    </w:p>
    <w:p w14:paraId="2F6937F2">
      <w:pPr>
        <w:keepNext w:val="0"/>
        <w:keepLines w:val="0"/>
        <w:pageBreakBefore w:val="0"/>
        <w:widowControl w:val="0"/>
        <w:kinsoku/>
        <w:wordWrap/>
        <w:topLinePunct w:val="0"/>
        <w:autoSpaceDE/>
        <w:autoSpaceDN/>
        <w:bidi w:val="0"/>
        <w:adjustRightInd/>
        <w:snapToGrid/>
        <w:spacing w:afterAutospacing="0" w:line="560" w:lineRule="exact"/>
        <w:ind w:firstLine="640" w:firstLineChars="200"/>
        <w:jc w:val="both"/>
        <w:textAlignment w:val="auto"/>
        <w:rPr>
          <w:rFonts w:hint="eastAsia" w:ascii="仿宋_GB2312" w:hAnsi="仿宋_GB2312" w:eastAsia="仿宋_GB2312" w:cs="仿宋_GB2312"/>
          <w:color w:val="000000" w:themeColor="text1"/>
          <w:sz w:val="32"/>
          <w:szCs w:val="32"/>
          <w:u w:val="none" w:color="auto"/>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u w:val="none" w:color="auto"/>
          <w:lang w:val="en-US" w:eastAsia="zh-CN"/>
          <w14:textFill>
            <w14:solidFill>
              <w14:schemeClr w14:val="tx1"/>
            </w14:solidFill>
          </w14:textFill>
        </w:rPr>
        <w:t>2025年是“十四五”规划收官和“十五五</w:t>
      </w:r>
      <w:r>
        <w:rPr>
          <w:rFonts w:hint="default" w:ascii="仿宋_GB2312" w:hAnsi="仿宋_GB2312" w:eastAsia="仿宋_GB2312" w:cs="仿宋_GB2312"/>
          <w:color w:val="000000" w:themeColor="text1"/>
          <w:sz w:val="32"/>
          <w:szCs w:val="32"/>
          <w:u w:val="none" w:color="auto"/>
          <w:lang w:val="en-US" w:eastAsia="zh-CN"/>
          <w14:textFill>
            <w14:solidFill>
              <w14:schemeClr w14:val="tx1"/>
            </w14:solidFill>
          </w14:textFill>
        </w:rPr>
        <w:t>”规划谋篇布局</w:t>
      </w:r>
      <w:r>
        <w:rPr>
          <w:rFonts w:hint="eastAsia" w:ascii="仿宋_GB2312" w:hAnsi="仿宋_GB2312" w:eastAsia="仿宋_GB2312" w:cs="仿宋_GB2312"/>
          <w:color w:val="000000" w:themeColor="text1"/>
          <w:sz w:val="32"/>
          <w:szCs w:val="32"/>
          <w:u w:val="none" w:color="auto"/>
          <w:lang w:val="en-US" w:eastAsia="zh-CN"/>
          <w14:textFill>
            <w14:solidFill>
              <w14:schemeClr w14:val="tx1"/>
            </w14:solidFill>
          </w14:textFill>
        </w:rPr>
        <w:t>之年，是自治区成立60周年、昌都解放75周年，也是奋进昌都“一切向东，建设长治久安和高质量发展引领示范市”工作目标的开局之年。在建设社会主义现代化新八宿的壮丽征程上，我们的机遇前所未有，我们的信心无比坚定。我们一定抓住一切有利时机，用好一切有利条件，一张蓝图绘到底，一茬接着一茬干，蹄疾步稳把各项工作不断推向前进。</w:t>
      </w:r>
    </w:p>
    <w:p w14:paraId="18E187A9">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u w:val="none" w:color="auto"/>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u w:val="none" w:color="auto"/>
          <w:lang w:val="en-US" w:eastAsia="zh-CN"/>
          <w14:textFill>
            <w14:solidFill>
              <w14:schemeClr w14:val="tx1"/>
            </w14:solidFill>
          </w14:textFill>
        </w:rPr>
        <w:t>今年政府工作的总体要求是：</w:t>
      </w:r>
      <w:r>
        <w:rPr>
          <w:rFonts w:hint="eastAsia" w:ascii="仿宋_GB2312" w:hAnsi="仿宋_GB2312" w:eastAsia="仿宋_GB2312" w:cs="仿宋_GB2312"/>
          <w:color w:val="000000" w:themeColor="text1"/>
          <w:sz w:val="32"/>
          <w:szCs w:val="32"/>
          <w:u w:val="none" w:color="auto"/>
          <w14:textFill>
            <w14:solidFill>
              <w14:schemeClr w14:val="tx1"/>
            </w14:solidFill>
          </w14:textFill>
        </w:rPr>
        <w:t>坚持以习近平新时代中国特色社会主义思想为指导，全面贯彻落实</w:t>
      </w:r>
      <w:r>
        <w:rPr>
          <w:rFonts w:hint="eastAsia" w:ascii="仿宋_GB2312" w:hAnsi="仿宋_GB2312" w:eastAsia="仿宋_GB2312" w:cs="仿宋_GB2312"/>
          <w:color w:val="000000" w:themeColor="text1"/>
          <w:sz w:val="32"/>
          <w:szCs w:val="32"/>
          <w:u w:val="none" w:color="auto"/>
          <w:lang w:val="en-US" w:eastAsia="zh-CN"/>
          <w14:textFill>
            <w14:solidFill>
              <w14:schemeClr w14:val="tx1"/>
            </w14:solidFill>
          </w14:textFill>
        </w:rPr>
        <w:t>党的二十大和二十届二中、三中全会精神，深入贯彻落实</w:t>
      </w:r>
      <w:r>
        <w:rPr>
          <w:rFonts w:hint="eastAsia" w:ascii="仿宋_GB2312" w:hAnsi="仿宋_GB2312" w:eastAsia="仿宋_GB2312" w:cs="仿宋_GB2312"/>
          <w:color w:val="000000" w:themeColor="text1"/>
          <w:sz w:val="32"/>
          <w:szCs w:val="32"/>
          <w:u w:val="none" w:color="auto"/>
          <w14:textFill>
            <w14:solidFill>
              <w14:schemeClr w14:val="tx1"/>
            </w14:solidFill>
          </w14:textFill>
        </w:rPr>
        <w:t>习近平总书记关于西藏工作的重要指示和新时代党的治藏方略，</w:t>
      </w:r>
      <w:r>
        <w:rPr>
          <w:rFonts w:hint="eastAsia" w:ascii="仿宋_GB2312" w:hAnsi="仿宋_GB2312" w:eastAsia="仿宋_GB2312" w:cs="仿宋_GB2312"/>
          <w:color w:val="000000" w:themeColor="text1"/>
          <w:sz w:val="32"/>
          <w:szCs w:val="32"/>
          <w:u w:val="none" w:color="auto"/>
          <w:lang w:val="en-US" w:eastAsia="zh-CN"/>
          <w14:textFill>
            <w14:solidFill>
              <w14:schemeClr w14:val="tx1"/>
            </w14:solidFill>
          </w14:textFill>
        </w:rPr>
        <w:t>认真落实</w:t>
      </w:r>
      <w:r>
        <w:rPr>
          <w:rFonts w:hint="eastAsia" w:ascii="仿宋_GB2312" w:hAnsi="仿宋_GB2312" w:eastAsia="仿宋_GB2312" w:cs="仿宋_GB2312"/>
          <w:color w:val="000000" w:themeColor="text1"/>
          <w:sz w:val="32"/>
          <w:szCs w:val="32"/>
          <w:u w:val="none" w:color="auto"/>
          <w14:textFill>
            <w14:solidFill>
              <w14:schemeClr w14:val="tx1"/>
            </w14:solidFill>
          </w14:textFill>
        </w:rPr>
        <w:t>自治区党委十届</w:t>
      </w:r>
      <w:r>
        <w:rPr>
          <w:rFonts w:hint="eastAsia" w:ascii="仿宋_GB2312" w:hAnsi="仿宋_GB2312" w:eastAsia="仿宋_GB2312" w:cs="仿宋_GB2312"/>
          <w:color w:val="000000" w:themeColor="text1"/>
          <w:sz w:val="32"/>
          <w:szCs w:val="32"/>
          <w:u w:val="none" w:color="auto"/>
          <w:lang w:eastAsia="zh-CN"/>
          <w14:textFill>
            <w14:solidFill>
              <w14:schemeClr w14:val="tx1"/>
            </w14:solidFill>
          </w14:textFill>
        </w:rPr>
        <w:t>、</w:t>
      </w:r>
      <w:r>
        <w:rPr>
          <w:rFonts w:hint="eastAsia" w:ascii="仿宋_GB2312" w:hAnsi="仿宋_GB2312" w:eastAsia="仿宋_GB2312" w:cs="仿宋_GB2312"/>
          <w:color w:val="000000" w:themeColor="text1"/>
          <w:sz w:val="32"/>
          <w:szCs w:val="32"/>
          <w:u w:val="none" w:color="auto"/>
          <w14:textFill>
            <w14:solidFill>
              <w14:schemeClr w14:val="tx1"/>
            </w14:solidFill>
          </w14:textFill>
        </w:rPr>
        <w:t>市委二届</w:t>
      </w:r>
      <w:r>
        <w:rPr>
          <w:rFonts w:hint="eastAsia" w:ascii="仿宋_GB2312" w:hAnsi="仿宋_GB2312" w:eastAsia="仿宋_GB2312" w:cs="仿宋_GB2312"/>
          <w:color w:val="000000" w:themeColor="text1"/>
          <w:sz w:val="32"/>
          <w:szCs w:val="32"/>
          <w:u w:val="none" w:color="auto"/>
          <w:lang w:val="en-US" w:eastAsia="zh-CN"/>
          <w14:textFill>
            <w14:solidFill>
              <w14:schemeClr w14:val="tx1"/>
            </w14:solidFill>
          </w14:textFill>
        </w:rPr>
        <w:t>历次全会精神</w:t>
      </w:r>
      <w:r>
        <w:rPr>
          <w:rFonts w:hint="eastAsia" w:ascii="仿宋_GB2312" w:hAnsi="仿宋_GB2312" w:eastAsia="仿宋_GB2312" w:cs="仿宋_GB2312"/>
          <w:color w:val="000000" w:themeColor="text1"/>
          <w:sz w:val="32"/>
          <w:szCs w:val="32"/>
          <w:u w:val="none" w:color="auto"/>
          <w14:textFill>
            <w14:solidFill>
              <w14:schemeClr w14:val="tx1"/>
            </w14:solidFill>
          </w14:textFill>
        </w:rPr>
        <w:t>，坚持“三个赋予一个有利于”总要求，聚焦“四件大事”聚力“四个创建”，锚定</w:t>
      </w:r>
      <w:r>
        <w:rPr>
          <w:rFonts w:hint="eastAsia" w:ascii="仿宋_GB2312" w:hAnsi="仿宋_GB2312" w:eastAsia="仿宋_GB2312" w:cs="仿宋_GB2312"/>
          <w:color w:val="000000" w:themeColor="text1"/>
          <w:sz w:val="32"/>
          <w:szCs w:val="32"/>
          <w:u w:val="none" w:color="auto"/>
          <w:lang w:val="en-US" w:eastAsia="zh-CN"/>
          <w14:textFill>
            <w14:solidFill>
              <w14:schemeClr w14:val="tx1"/>
            </w14:solidFill>
          </w14:textFill>
        </w:rPr>
        <w:t>市委</w:t>
      </w:r>
      <w:r>
        <w:rPr>
          <w:rFonts w:hint="eastAsia" w:ascii="仿宋_GB2312" w:hAnsi="仿宋_GB2312" w:eastAsia="仿宋_GB2312" w:cs="仿宋_GB2312"/>
          <w:color w:val="000000" w:themeColor="text1"/>
          <w:sz w:val="32"/>
          <w:szCs w:val="32"/>
          <w:u w:val="none" w:color="auto"/>
          <w14:textFill>
            <w14:solidFill>
              <w14:schemeClr w14:val="tx1"/>
            </w14:solidFill>
          </w14:textFill>
        </w:rPr>
        <w:t>“一切向东，建设长治久安和高质量发展引领示范市”工作目标，</w:t>
      </w:r>
      <w:r>
        <w:rPr>
          <w:rFonts w:hint="eastAsia" w:ascii="仿宋_GB2312" w:hAnsi="仿宋_GB2312" w:eastAsia="仿宋_GB2312" w:cs="仿宋_GB2312"/>
          <w:color w:val="000000" w:themeColor="text1"/>
          <w:sz w:val="32"/>
          <w:szCs w:val="32"/>
          <w:u w:val="none" w:color="auto"/>
          <w:lang w:eastAsia="zh-CN"/>
          <w14:textFill>
            <w14:solidFill>
              <w14:schemeClr w14:val="tx1"/>
            </w14:solidFill>
          </w14:textFill>
        </w:rPr>
        <w:t>围绕“</w:t>
      </w:r>
      <w:r>
        <w:rPr>
          <w:rFonts w:hint="eastAsia" w:ascii="仿宋_GB2312" w:hAnsi="仿宋_GB2312" w:eastAsia="仿宋_GB2312" w:cs="仿宋_GB2312"/>
          <w:color w:val="000000" w:themeColor="text1"/>
          <w:sz w:val="32"/>
          <w:szCs w:val="32"/>
          <w:u w:val="none" w:color="auto"/>
          <w:lang w:val="en-US" w:eastAsia="zh-CN"/>
          <w14:textFill>
            <w14:solidFill>
              <w14:schemeClr w14:val="tx1"/>
            </w14:solidFill>
          </w14:textFill>
        </w:rPr>
        <w:t>3+1+1”重大发展任务，坚持系统思维、全局谋划，坚定实施“1458”县域总体发展思路，持续推动经济量的合理增长和质的有效提升，</w:t>
      </w:r>
      <w:r>
        <w:rPr>
          <w:rFonts w:hint="eastAsia" w:ascii="仿宋_GB2312" w:hAnsi="仿宋_GB2312" w:eastAsia="仿宋_GB2312" w:cs="仿宋_GB2312"/>
          <w:color w:val="000000" w:themeColor="text1"/>
          <w:sz w:val="32"/>
          <w:szCs w:val="32"/>
          <w:u w:val="none" w:color="auto"/>
          <w14:textFill>
            <w14:solidFill>
              <w14:schemeClr w14:val="tx1"/>
            </w14:solidFill>
          </w14:textFill>
        </w:rPr>
        <w:t>高质量完成“十四五”规划目标任务</w:t>
      </w:r>
      <w:r>
        <w:rPr>
          <w:rFonts w:hint="eastAsia" w:ascii="仿宋_GB2312" w:hAnsi="仿宋_GB2312" w:eastAsia="仿宋_GB2312" w:cs="仿宋_GB2312"/>
          <w:color w:val="000000" w:themeColor="text1"/>
          <w:sz w:val="32"/>
          <w:szCs w:val="32"/>
          <w:u w:val="none" w:color="auto"/>
          <w:lang w:eastAsia="zh-CN"/>
          <w14:textFill>
            <w14:solidFill>
              <w14:schemeClr w14:val="tx1"/>
            </w14:solidFill>
          </w14:textFill>
        </w:rPr>
        <w:t>，</w:t>
      </w:r>
      <w:r>
        <w:rPr>
          <w:rFonts w:hint="eastAsia" w:ascii="仿宋_GB2312" w:hAnsi="仿宋_GB2312" w:eastAsia="仿宋_GB2312" w:cs="仿宋_GB2312"/>
          <w:color w:val="000000" w:themeColor="text1"/>
          <w:sz w:val="32"/>
          <w:szCs w:val="32"/>
          <w:u w:val="none" w:color="auto"/>
          <w14:textFill>
            <w14:solidFill>
              <w14:schemeClr w14:val="tx1"/>
            </w14:solidFill>
          </w14:textFill>
        </w:rPr>
        <w:t>高标准推进“十五五”谋篇布局</w:t>
      </w:r>
      <w:r>
        <w:rPr>
          <w:rFonts w:hint="eastAsia" w:ascii="仿宋_GB2312" w:hAnsi="仿宋_GB2312" w:eastAsia="仿宋_GB2312" w:cs="仿宋_GB2312"/>
          <w:color w:val="000000" w:themeColor="text1"/>
          <w:sz w:val="32"/>
          <w:szCs w:val="32"/>
          <w:u w:val="none" w:color="auto"/>
          <w:lang w:eastAsia="zh-CN"/>
          <w14:textFill>
            <w14:solidFill>
              <w14:schemeClr w14:val="tx1"/>
            </w14:solidFill>
          </w14:textFill>
        </w:rPr>
        <w:t>，</w:t>
      </w:r>
      <w:r>
        <w:rPr>
          <w:rFonts w:hint="eastAsia" w:ascii="仿宋_GB2312" w:hAnsi="仿宋_GB2312" w:eastAsia="仿宋_GB2312" w:cs="仿宋_GB2312"/>
          <w:color w:val="000000" w:themeColor="text1"/>
          <w:sz w:val="32"/>
          <w:szCs w:val="32"/>
          <w:u w:val="none" w:color="auto"/>
          <w:lang w:val="en-US" w:eastAsia="zh-CN"/>
          <w14:textFill>
            <w14:solidFill>
              <w14:schemeClr w14:val="tx1"/>
            </w14:solidFill>
          </w14:textFill>
        </w:rPr>
        <w:t>为建设藏东区域长治久安和高质量发展先行县打牢坚实基础。</w:t>
      </w:r>
    </w:p>
    <w:p w14:paraId="02E624C3">
      <w:pPr>
        <w:pStyle w:val="2"/>
        <w:keepNext w:val="0"/>
        <w:keepLines w:val="0"/>
        <w:pageBreakBefore w:val="0"/>
        <w:widowControl w:val="0"/>
        <w:kinsoku/>
        <w:wordWrap/>
        <w:overflowPunct/>
        <w:topLinePunct/>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u w:val="none" w:color="auto"/>
          <w:lang w:val="en-US" w:eastAsia="zh-CN"/>
          <w14:textFill>
            <w14:solidFill>
              <w14:schemeClr w14:val="tx1"/>
            </w14:solidFill>
          </w14:textFill>
        </w:rPr>
      </w:pPr>
      <w:r>
        <w:rPr>
          <w:rFonts w:hint="eastAsia" w:ascii="仿宋_GB2312" w:hAnsi="仿宋_GB2312" w:eastAsia="仿宋_GB2312" w:cs="仿宋_GB2312"/>
          <w:b/>
          <w:bCs/>
          <w:color w:val="000000" w:themeColor="text1"/>
          <w:kern w:val="2"/>
          <w:sz w:val="32"/>
          <w:szCs w:val="32"/>
          <w:u w:val="none" w:color="auto"/>
          <w:lang w:val="en-US" w:eastAsia="zh-CN" w:bidi="ar-SA"/>
          <w14:textFill>
            <w14:solidFill>
              <w14:schemeClr w14:val="tx1"/>
            </w14:solidFill>
          </w14:textFill>
        </w:rPr>
        <w:t>2025年经济社会发展的主要预期目标是：</w:t>
      </w:r>
      <w:r>
        <w:rPr>
          <w:rFonts w:hint="eastAsia" w:ascii="仿宋_GB2312" w:hAnsi="仿宋_GB2312" w:eastAsia="仿宋_GB2312" w:cs="仿宋_GB2312"/>
          <w:color w:val="000000" w:themeColor="text1"/>
          <w:sz w:val="32"/>
          <w:szCs w:val="32"/>
          <w:u w:val="none" w:color="auto"/>
          <w:lang w:val="en-US" w:eastAsia="zh-CN"/>
          <w14:textFill>
            <w14:solidFill>
              <w14:schemeClr w14:val="tx1"/>
            </w14:solidFill>
          </w14:textFill>
        </w:rPr>
        <w:t>地区生产总值增长8%左右；社会固定资产投资增长15%左右；社会消费品零售总额增长8%左右；地方一般公共预算收入增长4%左右；规模以上工业产值增长16%左右；城乡居民人均可支配收入分别增长8%和10%左右；城镇调查失业率、居民消费价格涨幅分别控制在5%和3%以内，主要经济指标增速力争做到“保五、稳三、争一”。</w:t>
      </w:r>
    </w:p>
    <w:p w14:paraId="5F2CECFE">
      <w:pPr>
        <w:pStyle w:val="2"/>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eastAsia"/>
          <w:color w:val="000000" w:themeColor="text1"/>
          <w:sz w:val="32"/>
          <w:szCs w:val="32"/>
          <w:u w:val="none" w:color="auto"/>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color="auto"/>
          <w:lang w:val="en-US" w:eastAsia="zh-CN"/>
          <w14:textFill>
            <w14:solidFill>
              <w14:schemeClr w14:val="tx1"/>
            </w14:solidFill>
          </w14:textFill>
        </w:rPr>
        <w:t>以上发展目标，综合考虑了自治区、昌都市要求及我县实际需要，只要我们敢于“涉险滩”、勇于“闯难关”，通过努力是完全可以实现的，要重点把握以下六个方面：</w:t>
      </w:r>
      <w:r>
        <w:rPr>
          <w:rFonts w:hint="eastAsia" w:ascii="仿宋_GB2312" w:hAnsi="仿宋_GB2312" w:eastAsia="仿宋_GB2312" w:cs="仿宋_GB2312"/>
          <w:b/>
          <w:bCs/>
          <w:color w:val="000000" w:themeColor="text1"/>
          <w:sz w:val="32"/>
          <w:szCs w:val="32"/>
          <w:u w:val="none" w:color="auto"/>
          <w:lang w:val="en-US" w:eastAsia="zh-CN"/>
          <w14:textFill>
            <w14:solidFill>
              <w14:schemeClr w14:val="tx1"/>
            </w14:solidFill>
          </w14:textFill>
        </w:rPr>
        <w:t>一要坚持党的领导。</w:t>
      </w:r>
      <w:r>
        <w:rPr>
          <w:rFonts w:hint="eastAsia" w:ascii="仿宋_GB2312" w:hAnsi="仿宋_GB2312" w:eastAsia="仿宋_GB2312" w:cs="仿宋_GB2312"/>
          <w:b w:val="0"/>
          <w:bCs w:val="0"/>
          <w:color w:val="000000" w:themeColor="text1"/>
          <w:sz w:val="32"/>
          <w:szCs w:val="32"/>
          <w:u w:val="none" w:color="auto"/>
          <w:lang w:val="en-US" w:eastAsia="zh-CN"/>
          <w14:textFill>
            <w14:solidFill>
              <w14:schemeClr w14:val="tx1"/>
            </w14:solidFill>
          </w14:textFill>
        </w:rPr>
        <w:t>不断增强做到“两个维护”、捍卫“两个确立”的思想自觉、政治自觉、行动自觉，不折不扣把中央大政方针和自治区党委、市委、县委决策部署落到实处。</w:t>
      </w:r>
      <w:r>
        <w:rPr>
          <w:rFonts w:hint="eastAsia" w:ascii="仿宋_GB2312" w:hAnsi="仿宋_GB2312" w:eastAsia="仿宋_GB2312" w:cs="仿宋_GB2312"/>
          <w:b/>
          <w:bCs/>
          <w:color w:val="000000" w:themeColor="text1"/>
          <w:sz w:val="32"/>
          <w:szCs w:val="32"/>
          <w:u w:val="none" w:color="auto"/>
          <w:lang w:val="en-US" w:eastAsia="zh-CN"/>
          <w14:textFill>
            <w14:solidFill>
              <w14:schemeClr w14:val="tx1"/>
            </w14:solidFill>
          </w14:textFill>
        </w:rPr>
        <w:t>二要聚焦主线任务。</w:t>
      </w:r>
      <w:r>
        <w:rPr>
          <w:rFonts w:hint="eastAsia" w:ascii="仿宋_GB2312" w:hAnsi="仿宋_GB2312" w:eastAsia="仿宋_GB2312" w:cs="仿宋_GB2312"/>
          <w:color w:val="000000" w:themeColor="text1"/>
          <w:sz w:val="32"/>
          <w:szCs w:val="32"/>
          <w:u w:val="none" w:color="auto"/>
          <w:lang w:val="en-US" w:eastAsia="zh-CN"/>
          <w14:textFill>
            <w14:solidFill>
              <w14:schemeClr w14:val="tx1"/>
            </w14:solidFill>
          </w14:textFill>
        </w:rPr>
        <w:t>坚持以铸牢中华民族共同体意识为主线，坚持“三个赋予一个有利于”总要求，深入开展“红色昌都·振兴奋进”活动，统筹解决人口、人心、人才问题。</w:t>
      </w:r>
      <w:r>
        <w:rPr>
          <w:rFonts w:hint="eastAsia" w:ascii="仿宋_GB2312" w:hAnsi="仿宋_GB2312" w:eastAsia="仿宋_GB2312" w:cs="仿宋_GB2312"/>
          <w:b/>
          <w:bCs/>
          <w:color w:val="000000" w:themeColor="text1"/>
          <w:sz w:val="32"/>
          <w:szCs w:val="32"/>
          <w:u w:val="none" w:color="auto"/>
          <w:lang w:val="en-US" w:eastAsia="zh-CN"/>
          <w14:textFill>
            <w14:solidFill>
              <w14:schemeClr w14:val="tx1"/>
            </w14:solidFill>
          </w14:textFill>
        </w:rPr>
        <w:t>三要夯实发展基础。</w:t>
      </w:r>
      <w:r>
        <w:rPr>
          <w:rFonts w:hint="eastAsia" w:ascii="仿宋_GB2312" w:hAnsi="仿宋_GB2312" w:eastAsia="仿宋_GB2312" w:cs="仿宋_GB2312"/>
          <w:color w:val="000000" w:themeColor="text1"/>
          <w:sz w:val="32"/>
          <w:szCs w:val="32"/>
          <w:u w:val="none" w:color="auto"/>
          <w:lang w:val="en-US" w:eastAsia="zh-CN"/>
          <w14:textFill>
            <w14:solidFill>
              <w14:schemeClr w14:val="tx1"/>
            </w14:solidFill>
          </w14:textFill>
        </w:rPr>
        <w:t>坚持问题导向，紧紧围绕基础设施、公共服务、教育医疗、基层治理等事关八宿长治久安和高质量发展的关键问题，多谋固根本管全局的事情，多做打基础利长远的工作。</w:t>
      </w:r>
      <w:r>
        <w:rPr>
          <w:rFonts w:hint="eastAsia" w:ascii="仿宋_GB2312" w:hAnsi="仿宋_GB2312" w:eastAsia="仿宋_GB2312" w:cs="仿宋_GB2312"/>
          <w:b/>
          <w:bCs/>
          <w:color w:val="000000" w:themeColor="text1"/>
          <w:sz w:val="32"/>
          <w:szCs w:val="32"/>
          <w:u w:val="none" w:color="auto"/>
          <w:lang w:val="en-US" w:eastAsia="zh-CN"/>
          <w14:textFill>
            <w14:solidFill>
              <w14:schemeClr w14:val="tx1"/>
            </w14:solidFill>
          </w14:textFill>
        </w:rPr>
        <w:t>四要强化产业引领。</w:t>
      </w:r>
      <w:r>
        <w:rPr>
          <w:rFonts w:hint="eastAsia" w:ascii="仿宋_GB2312" w:hAnsi="仿宋_GB2312" w:eastAsia="仿宋_GB2312" w:cs="仿宋_GB2312"/>
          <w:color w:val="000000" w:themeColor="text1"/>
          <w:sz w:val="32"/>
          <w:szCs w:val="32"/>
          <w:u w:val="none" w:color="auto"/>
          <w:lang w:val="en-US" w:eastAsia="zh-CN"/>
          <w14:textFill>
            <w14:solidFill>
              <w14:schemeClr w14:val="tx1"/>
            </w14:solidFill>
          </w14:textFill>
        </w:rPr>
        <w:t>坚持产业兴则经济兴，聚焦五大产业发展主攻方向，统筹传统产业改造提升和新兴产业培育壮大，加快新型工业化步伐，因地制宜培育和发展新质生产力。</w:t>
      </w:r>
      <w:r>
        <w:rPr>
          <w:rFonts w:hint="eastAsia" w:ascii="仿宋_GB2312" w:hAnsi="仿宋_GB2312" w:eastAsia="仿宋_GB2312" w:cs="仿宋_GB2312"/>
          <w:b/>
          <w:bCs/>
          <w:color w:val="000000" w:themeColor="text1"/>
          <w:sz w:val="32"/>
          <w:szCs w:val="32"/>
          <w:u w:val="none" w:color="auto"/>
          <w:lang w:val="en-US" w:eastAsia="zh-CN"/>
          <w14:textFill>
            <w14:solidFill>
              <w14:schemeClr w14:val="tx1"/>
            </w14:solidFill>
          </w14:textFill>
        </w:rPr>
        <w:t>五要牢记民生为本。</w:t>
      </w:r>
      <w:r>
        <w:rPr>
          <w:rFonts w:hint="eastAsia" w:ascii="仿宋_GB2312" w:hAnsi="仿宋_GB2312" w:eastAsia="仿宋_GB2312" w:cs="仿宋_GB2312"/>
          <w:color w:val="000000" w:themeColor="text1"/>
          <w:sz w:val="32"/>
          <w:szCs w:val="32"/>
          <w:u w:val="none" w:color="auto"/>
          <w:lang w:val="en-US" w:eastAsia="zh-CN"/>
          <w14:textFill>
            <w14:solidFill>
              <w14:schemeClr w14:val="tx1"/>
            </w14:solidFill>
          </w14:textFill>
        </w:rPr>
        <w:t>坚持以人民为中心的发展思想，始终把保障和改善民生作为一切工作的出发点和落脚点，全面承接落实自治区28项民生实事，让发展成果更多更公平惠及全县各族人民。</w:t>
      </w:r>
      <w:r>
        <w:rPr>
          <w:rFonts w:hint="eastAsia" w:ascii="仿宋_GB2312" w:hAnsi="仿宋_GB2312" w:eastAsia="仿宋_GB2312" w:cs="仿宋_GB2312"/>
          <w:b/>
          <w:bCs/>
          <w:color w:val="000000" w:themeColor="text1"/>
          <w:sz w:val="32"/>
          <w:szCs w:val="32"/>
          <w:u w:val="none" w:color="auto"/>
          <w:lang w:val="en-US" w:eastAsia="zh-CN"/>
          <w14:textFill>
            <w14:solidFill>
              <w14:schemeClr w14:val="tx1"/>
            </w14:solidFill>
          </w14:textFill>
        </w:rPr>
        <w:t>六要加强安全保障。</w:t>
      </w:r>
      <w:r>
        <w:rPr>
          <w:rFonts w:hint="eastAsia" w:ascii="仿宋_GB2312" w:hAnsi="仿宋_GB2312" w:eastAsia="仿宋_GB2312" w:cs="仿宋_GB2312"/>
          <w:color w:val="000000" w:themeColor="text1"/>
          <w:sz w:val="32"/>
          <w:szCs w:val="32"/>
          <w:u w:val="none" w:color="auto"/>
          <w:lang w:val="en-US" w:eastAsia="zh-CN"/>
          <w14:textFill>
            <w14:solidFill>
              <w14:schemeClr w14:val="tx1"/>
            </w14:solidFill>
          </w14:textFill>
        </w:rPr>
        <w:t>统筹安全和发展，树牢底线思维、极限思维，以“时时放心不下”的责任感、“事事落实到位”的执行力，全力守护八宿安全、社会安定、人民安宁。</w:t>
      </w:r>
    </w:p>
    <w:p w14:paraId="45610DA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color w:val="000000" w:themeColor="text1"/>
          <w:kern w:val="21"/>
          <w:sz w:val="32"/>
          <w:szCs w:val="32"/>
          <w:u w:val="none" w:color="auto"/>
          <w:lang w:val="en-US" w:eastAsia="zh-CN" w:bidi="ar-SA"/>
          <w14:textFill>
            <w14:solidFill>
              <w14:schemeClr w14:val="tx1"/>
            </w14:solidFill>
          </w14:textFill>
        </w:rPr>
      </w:pPr>
      <w:r>
        <w:rPr>
          <w:rFonts w:hint="eastAsia" w:ascii="黑体" w:hAnsi="黑体" w:eastAsia="黑体" w:cs="黑体"/>
          <w:b w:val="0"/>
          <w:bCs w:val="0"/>
          <w:color w:val="000000" w:themeColor="text1"/>
          <w:kern w:val="21"/>
          <w:sz w:val="32"/>
          <w:szCs w:val="32"/>
          <w:u w:val="none" w:color="auto"/>
          <w:lang w:val="en-US" w:eastAsia="zh-CN" w:bidi="ar-SA"/>
          <w14:textFill>
            <w14:solidFill>
              <w14:schemeClr w14:val="tx1"/>
            </w14:solidFill>
          </w14:textFill>
        </w:rPr>
        <w:t>今年，将重点做好以下七个方面工作。</w:t>
      </w:r>
    </w:p>
    <w:p w14:paraId="02053190">
      <w:pPr>
        <w:keepNext w:val="0"/>
        <w:keepLines w:val="0"/>
        <w:pageBreakBefore w:val="0"/>
        <w:widowControl w:val="0"/>
        <w:numPr>
          <w:ilvl w:val="0"/>
          <w:numId w:val="0"/>
        </w:numPr>
        <w:pBdr>
          <w:bottom w:val="single" w:color="FFFFFF" w:sz="4" w:space="30"/>
        </w:pBdr>
        <w:tabs>
          <w:tab w:val="left" w:pos="1440"/>
        </w:tabs>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楷体_GB2312" w:hAnsi="楷体_GB2312" w:eastAsia="楷体_GB2312" w:cs="楷体_GB2312"/>
          <w:color w:val="000000" w:themeColor="text1"/>
          <w:sz w:val="32"/>
          <w:szCs w:val="32"/>
          <w:u w:val="none" w:color="auto"/>
          <w:lang w:eastAsia="zh-CN"/>
          <w14:textFill>
            <w14:solidFill>
              <w14:schemeClr w14:val="tx1"/>
            </w14:solidFill>
          </w14:textFill>
        </w:rPr>
      </w:pPr>
      <w:r>
        <w:rPr>
          <w:rFonts w:hint="eastAsia" w:ascii="楷体_GB2312" w:hAnsi="楷体_GB2312" w:eastAsia="楷体_GB2312" w:cs="楷体_GB2312"/>
          <w:color w:val="000000" w:themeColor="text1"/>
          <w:kern w:val="2"/>
          <w:sz w:val="32"/>
          <w:szCs w:val="32"/>
          <w:u w:val="none" w:color="auto"/>
          <w:lang w:val="en-US" w:eastAsia="zh-CN" w:bidi="ar-SA"/>
          <w14:textFill>
            <w14:solidFill>
              <w14:schemeClr w14:val="tx1"/>
            </w14:solidFill>
          </w14:textFill>
        </w:rPr>
        <w:t>（一）</w:t>
      </w:r>
      <w:r>
        <w:rPr>
          <w:rFonts w:hint="eastAsia" w:ascii="楷体_GB2312" w:hAnsi="楷体_GB2312" w:eastAsia="楷体_GB2312" w:cs="楷体_GB2312"/>
          <w:color w:val="000000" w:themeColor="text1"/>
          <w:sz w:val="32"/>
          <w:szCs w:val="32"/>
          <w:u w:val="none" w:color="auto"/>
          <w:lang w:val="en-US" w:eastAsia="zh-CN"/>
          <w14:textFill>
            <w14:solidFill>
              <w14:schemeClr w14:val="tx1"/>
            </w14:solidFill>
          </w14:textFill>
        </w:rPr>
        <w:t>聚力风险治理，</w:t>
      </w:r>
      <w:r>
        <w:rPr>
          <w:rFonts w:hint="eastAsia" w:ascii="楷体_GB2312" w:hAnsi="楷体_GB2312" w:eastAsia="楷体_GB2312" w:cs="楷体_GB2312"/>
          <w:color w:val="000000" w:themeColor="text1"/>
          <w:sz w:val="32"/>
          <w:szCs w:val="32"/>
          <w:u w:val="none" w:color="auto"/>
          <w:lang w:eastAsia="zh-CN"/>
          <w14:textFill>
            <w14:solidFill>
              <w14:schemeClr w14:val="tx1"/>
            </w14:solidFill>
          </w14:textFill>
        </w:rPr>
        <w:t>坚定坚决维护社会安全稳定</w:t>
      </w:r>
    </w:p>
    <w:p w14:paraId="0C9E5626">
      <w:pPr>
        <w:keepNext w:val="0"/>
        <w:keepLines w:val="0"/>
        <w:pageBreakBefore w:val="0"/>
        <w:widowControl w:val="0"/>
        <w:numPr>
          <w:ilvl w:val="0"/>
          <w:numId w:val="0"/>
        </w:numPr>
        <w:pBdr>
          <w:bottom w:val="single" w:color="FFFFFF" w:sz="4" w:space="30"/>
        </w:pBdr>
        <w:tabs>
          <w:tab w:val="left" w:pos="1440"/>
        </w:tabs>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eastAsia" w:ascii="仿宋_GB2312" w:hAnsi="仿宋_GB2312" w:eastAsia="仿宋_GB2312" w:cs="仿宋_GB2312"/>
          <w:color w:val="000000" w:themeColor="text1"/>
          <w:kern w:val="21"/>
          <w:sz w:val="32"/>
          <w:szCs w:val="32"/>
          <w:u w:val="none" w:color="auto"/>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1"/>
          <w:sz w:val="32"/>
          <w:szCs w:val="32"/>
          <w:u w:val="none" w:color="auto"/>
          <w:lang w:val="en-US" w:eastAsia="zh-CN" w:bidi="ar-SA"/>
          <w14:textFill>
            <w14:solidFill>
              <w14:schemeClr w14:val="tx1"/>
            </w14:solidFill>
          </w14:textFill>
        </w:rPr>
        <w:t>加强社会治理。</w:t>
      </w:r>
      <w:r>
        <w:rPr>
          <w:rFonts w:hint="eastAsia" w:ascii="仿宋_GB2312" w:hAnsi="仿宋_GB2312" w:eastAsia="仿宋_GB2312" w:cs="仿宋_GB2312"/>
          <w:color w:val="000000" w:themeColor="text1"/>
          <w:kern w:val="21"/>
          <w:sz w:val="32"/>
          <w:szCs w:val="32"/>
          <w:u w:val="none" w:color="auto"/>
          <w:lang w:val="en-US" w:eastAsia="zh-CN" w:bidi="ar-SA"/>
          <w14:textFill>
            <w14:solidFill>
              <w14:schemeClr w14:val="tx1"/>
            </w14:solidFill>
          </w14:textFill>
        </w:rPr>
        <w:t>统筹高质量发展和高水平安全，全面落实各项维稳举措，严格落实意识形态工作责任制，深化网络生态长效治理，深化法治八宿、平安八宿建设，坚持和发展新时代“枫桥经验”，常态化开展矛盾风险排查整治，扎实推进信访工作法治化和信访源头治理三年攻坚行动，稳妥化解历史遗留问题，深入推进“八五”普法，加快构建自治、法治、德治相结合的基层治理体系。</w:t>
      </w:r>
    </w:p>
    <w:p w14:paraId="32347A2C">
      <w:pPr>
        <w:keepNext w:val="0"/>
        <w:keepLines w:val="0"/>
        <w:pageBreakBefore w:val="0"/>
        <w:widowControl w:val="0"/>
        <w:numPr>
          <w:ilvl w:val="0"/>
          <w:numId w:val="0"/>
        </w:numPr>
        <w:pBdr>
          <w:bottom w:val="single" w:color="FFFFFF" w:sz="4" w:space="30"/>
        </w:pBdr>
        <w:tabs>
          <w:tab w:val="left" w:pos="1440"/>
        </w:tabs>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eastAsia" w:ascii="仿宋_GB2312" w:hAnsi="仿宋_GB2312" w:eastAsia="仿宋_GB2312" w:cs="仿宋_GB2312"/>
          <w:b w:val="0"/>
          <w:bCs w:val="0"/>
          <w:color w:val="000000" w:themeColor="text1"/>
          <w:kern w:val="21"/>
          <w:sz w:val="32"/>
          <w:szCs w:val="32"/>
          <w:u w:val="none" w:color="auto"/>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1"/>
          <w:sz w:val="32"/>
          <w:szCs w:val="32"/>
          <w:u w:val="none" w:color="auto"/>
          <w:lang w:val="en-US" w:eastAsia="zh-CN" w:bidi="ar-SA"/>
          <w14:textFill>
            <w14:solidFill>
              <w14:schemeClr w14:val="tx1"/>
            </w14:solidFill>
          </w14:textFill>
        </w:rPr>
        <w:t>促进民族团结。</w:t>
      </w:r>
      <w:r>
        <w:rPr>
          <w:rFonts w:hint="eastAsia" w:ascii="仿宋_GB2312" w:hAnsi="仿宋_GB2312" w:eastAsia="仿宋_GB2312" w:cs="仿宋_GB2312"/>
          <w:color w:val="000000" w:themeColor="text1"/>
          <w:kern w:val="21"/>
          <w:sz w:val="32"/>
          <w:szCs w:val="32"/>
          <w:u w:val="none" w:color="auto"/>
          <w:lang w:val="en-US" w:eastAsia="zh-CN" w:bidi="ar-SA"/>
          <w14:textFill>
            <w14:solidFill>
              <w14:schemeClr w14:val="tx1"/>
            </w14:solidFill>
          </w14:textFill>
        </w:rPr>
        <w:t>坚持新时代党的民族工作主线，进</w:t>
      </w:r>
      <w:r>
        <w:rPr>
          <w:rFonts w:hint="eastAsia" w:ascii="仿宋_GB2312" w:hAnsi="仿宋_GB2312" w:eastAsia="仿宋_GB2312" w:cs="仿宋_GB2312"/>
          <w:b w:val="0"/>
          <w:bCs w:val="0"/>
          <w:color w:val="000000" w:themeColor="text1"/>
          <w:kern w:val="21"/>
          <w:sz w:val="32"/>
          <w:szCs w:val="32"/>
          <w:u w:val="none" w:color="auto"/>
          <w:lang w:val="en-US" w:eastAsia="zh-CN" w:bidi="ar-SA"/>
          <w14:textFill>
            <w14:solidFill>
              <w14:schemeClr w14:val="tx1"/>
            </w14:solidFill>
          </w14:textFill>
        </w:rPr>
        <w:t>一步铸牢中华民族共同体意识。有形有感有效落实“四大工程”“六项行动”，扎实推进全国民族团结进步模范区创建。加大国家通用语言文字推广普及力度，持续开展民族“三交”活动，主动融入昌都民族团结文化“两线一廊”建设，深入挖掘各民族交往交流交融典型事例。健全完善退役军人服务保障体系，积极落实各项优抚政策，持续做好国防动员、深化双拥共建，扎实推进“全国双拥模范县”创建。</w:t>
      </w:r>
    </w:p>
    <w:p w14:paraId="7BD04B67">
      <w:pPr>
        <w:keepNext w:val="0"/>
        <w:keepLines w:val="0"/>
        <w:pageBreakBefore w:val="0"/>
        <w:widowControl w:val="0"/>
        <w:numPr>
          <w:ilvl w:val="0"/>
          <w:numId w:val="0"/>
        </w:numPr>
        <w:pBdr>
          <w:bottom w:val="single" w:color="FFFFFF" w:sz="4" w:space="30"/>
        </w:pBdr>
        <w:tabs>
          <w:tab w:val="left" w:pos="1440"/>
        </w:tabs>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eastAsia" w:ascii="仿宋_GB2312" w:hAnsi="仿宋_GB2312" w:eastAsia="仿宋_GB2312" w:cs="仿宋_GB2312"/>
          <w:color w:val="000000" w:themeColor="text1"/>
          <w:kern w:val="21"/>
          <w:sz w:val="32"/>
          <w:szCs w:val="32"/>
          <w:u w:val="none" w:color="auto"/>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1"/>
          <w:sz w:val="32"/>
          <w:szCs w:val="32"/>
          <w:u w:val="none" w:color="auto"/>
          <w:lang w:val="en-US" w:eastAsia="zh-CN" w:bidi="ar-SA"/>
          <w14:textFill>
            <w14:solidFill>
              <w14:schemeClr w14:val="tx1"/>
            </w14:solidFill>
          </w14:textFill>
        </w:rPr>
        <w:t>强化宗教管理。</w:t>
      </w:r>
      <w:r>
        <w:rPr>
          <w:rFonts w:hint="eastAsia" w:ascii="仿宋_GB2312" w:hAnsi="仿宋_GB2312" w:eastAsia="仿宋_GB2312" w:cs="仿宋_GB2312"/>
          <w:color w:val="000000" w:themeColor="text1"/>
          <w:kern w:val="21"/>
          <w:sz w:val="32"/>
          <w:szCs w:val="32"/>
          <w:u w:val="none" w:color="auto"/>
          <w:lang w:val="en-US" w:eastAsia="zh-CN" w:bidi="ar-SA"/>
          <w14:textFill>
            <w14:solidFill>
              <w14:schemeClr w14:val="tx1"/>
            </w14:solidFill>
          </w14:textFill>
        </w:rPr>
        <w:t>依法加强宗教事务管理，常态</w:t>
      </w:r>
      <w:r>
        <w:rPr>
          <w:rFonts w:hint="eastAsia" w:ascii="仿宋_GB2312" w:hAnsi="仿宋_GB2312" w:eastAsia="仿宋_GB2312" w:cs="仿宋_GB2312"/>
          <w:b w:val="0"/>
          <w:bCs w:val="0"/>
          <w:color w:val="000000" w:themeColor="text1"/>
          <w:kern w:val="21"/>
          <w:sz w:val="32"/>
          <w:szCs w:val="32"/>
          <w:u w:val="none" w:color="auto"/>
          <w:lang w:val="en-US" w:eastAsia="zh-CN" w:bidi="ar-SA"/>
          <w14:textFill>
            <w14:solidFill>
              <w14:schemeClr w14:val="tx1"/>
            </w14:solidFill>
          </w14:textFill>
        </w:rPr>
        <w:t>化开展“三个意识”教育，深化活佛转世法规制度宣讲宣传，</w:t>
      </w:r>
      <w:r>
        <w:rPr>
          <w:rFonts w:hint="eastAsia" w:ascii="仿宋_GB2312" w:hAnsi="仿宋_GB2312" w:eastAsia="仿宋_GB2312" w:cs="仿宋_GB2312"/>
          <w:color w:val="000000" w:themeColor="text1"/>
          <w:kern w:val="21"/>
          <w:sz w:val="32"/>
          <w:szCs w:val="32"/>
          <w:u w:val="none" w:color="auto"/>
          <w:lang w:val="en-US" w:eastAsia="zh-CN" w:bidi="ar-SA"/>
          <w14:textFill>
            <w14:solidFill>
              <w14:schemeClr w14:val="tx1"/>
            </w14:solidFill>
          </w14:textFill>
        </w:rPr>
        <w:t>严守宗教领域“三个决不允许”“三个不增加”政策红线，</w:t>
      </w:r>
      <w:r>
        <w:rPr>
          <w:rFonts w:hint="eastAsia" w:ascii="仿宋_GB2312" w:hAnsi="仿宋_GB2312" w:eastAsia="仿宋_GB2312" w:cs="仿宋_GB2312"/>
          <w:b w:val="0"/>
          <w:bCs w:val="0"/>
          <w:color w:val="000000" w:themeColor="text1"/>
          <w:kern w:val="21"/>
          <w:sz w:val="32"/>
          <w:szCs w:val="32"/>
          <w:u w:val="none" w:color="auto"/>
          <w:lang w:val="en-US" w:eastAsia="zh-CN" w:bidi="ar-SA"/>
          <w14:textFill>
            <w14:solidFill>
              <w14:schemeClr w14:val="tx1"/>
            </w14:solidFill>
          </w14:textFill>
        </w:rPr>
        <w:t>积极推进藏传佛教中国化，</w:t>
      </w:r>
      <w:r>
        <w:rPr>
          <w:rFonts w:hint="eastAsia" w:ascii="仿宋_GB2312" w:hAnsi="仿宋_GB2312" w:eastAsia="仿宋_GB2312" w:cs="仿宋_GB2312"/>
          <w:color w:val="000000" w:themeColor="text1"/>
          <w:kern w:val="21"/>
          <w:sz w:val="32"/>
          <w:szCs w:val="32"/>
          <w:u w:val="none" w:color="auto"/>
          <w:lang w:val="en-US" w:eastAsia="zh-CN" w:bidi="ar-SA"/>
          <w14:textFill>
            <w14:solidFill>
              <w14:schemeClr w14:val="tx1"/>
            </w14:solidFill>
          </w14:textFill>
        </w:rPr>
        <w:t>积极引导宗教与社会主义社会相适应。</w:t>
      </w:r>
    </w:p>
    <w:p w14:paraId="4F8279CC">
      <w:pPr>
        <w:keepNext w:val="0"/>
        <w:keepLines w:val="0"/>
        <w:pageBreakBefore w:val="0"/>
        <w:widowControl w:val="0"/>
        <w:numPr>
          <w:ilvl w:val="0"/>
          <w:numId w:val="0"/>
        </w:numPr>
        <w:pBdr>
          <w:bottom w:val="single" w:color="FFFFFF" w:sz="4" w:space="30"/>
        </w:pBdr>
        <w:tabs>
          <w:tab w:val="left" w:pos="1440"/>
        </w:tabs>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eastAsia" w:ascii="仿宋_GB2312" w:hAnsi="仿宋_GB2312" w:eastAsia="仿宋_GB2312" w:cs="仿宋_GB2312"/>
          <w:color w:val="000000" w:themeColor="text1"/>
          <w:kern w:val="21"/>
          <w:sz w:val="32"/>
          <w:szCs w:val="32"/>
          <w:u w:val="none" w:color="auto"/>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1"/>
          <w:sz w:val="32"/>
          <w:szCs w:val="32"/>
          <w:u w:val="none" w:color="auto"/>
          <w:lang w:val="en-US" w:eastAsia="zh-CN" w:bidi="ar-SA"/>
          <w14:textFill>
            <w14:solidFill>
              <w14:schemeClr w14:val="tx1"/>
            </w14:solidFill>
          </w14:textFill>
        </w:rPr>
        <w:t>抓实安全生产。</w:t>
      </w:r>
      <w:r>
        <w:rPr>
          <w:rFonts w:hint="eastAsia" w:ascii="仿宋_GB2312" w:hAnsi="仿宋_GB2312" w:eastAsia="仿宋_GB2312" w:cs="仿宋_GB2312"/>
          <w:b w:val="0"/>
          <w:bCs w:val="0"/>
          <w:color w:val="000000" w:themeColor="text1"/>
          <w:kern w:val="21"/>
          <w:sz w:val="32"/>
          <w:szCs w:val="32"/>
          <w:u w:val="none" w:color="auto"/>
          <w:lang w:val="en-US" w:eastAsia="zh-CN" w:bidi="ar-SA"/>
          <w14:textFill>
            <w14:solidFill>
              <w14:schemeClr w14:val="tx1"/>
            </w14:solidFill>
          </w14:textFill>
        </w:rPr>
        <w:t>严格落实安全生产责任制和15条硬措施，深化安全生产治本攻坚三年行动，</w:t>
      </w:r>
      <w:r>
        <w:rPr>
          <w:rFonts w:hint="eastAsia" w:ascii="仿宋_GB2312" w:hAnsi="仿宋_GB2312" w:eastAsia="仿宋_GB2312" w:cs="仿宋_GB2312"/>
          <w:color w:val="000000" w:themeColor="text1"/>
          <w:kern w:val="21"/>
          <w:sz w:val="32"/>
          <w:szCs w:val="32"/>
          <w:u w:val="none" w:color="auto"/>
          <w:lang w:val="en-US" w:eastAsia="zh-CN" w:bidi="ar-SA"/>
          <w14:textFill>
            <w14:solidFill>
              <w14:schemeClr w14:val="tx1"/>
            </w14:solidFill>
          </w14:textFill>
        </w:rPr>
        <w:t>进一步抓好风险隐患源头治理、排查调处、集体会商三个环节，积极提升分析研判、防控稳控、化解调处三种能力，建立健全多种力量协同、分流化解、责任倒查三项机制。</w:t>
      </w:r>
      <w:r>
        <w:rPr>
          <w:rFonts w:hint="eastAsia" w:ascii="仿宋_GB2312" w:hAnsi="仿宋_GB2312" w:eastAsia="仿宋_GB2312" w:cs="仿宋_GB2312"/>
          <w:b w:val="0"/>
          <w:bCs w:val="0"/>
          <w:color w:val="000000" w:themeColor="text1"/>
          <w:kern w:val="21"/>
          <w:sz w:val="32"/>
          <w:szCs w:val="32"/>
          <w:u w:val="none" w:color="auto"/>
          <w:lang w:val="en-US" w:eastAsia="zh-CN" w:bidi="ar-SA"/>
          <w14:textFill>
            <w14:solidFill>
              <w14:schemeClr w14:val="tx1"/>
            </w14:solidFill>
          </w14:textFill>
        </w:rPr>
        <w:t>深入开展安全生产宣传，建立健全食品安全信息公示和追溯制度，</w:t>
      </w:r>
      <w:r>
        <w:rPr>
          <w:rFonts w:hint="eastAsia" w:ascii="仿宋_GB2312" w:hAnsi="仿宋_GB2312" w:eastAsia="仿宋_GB2312" w:cs="仿宋_GB2312"/>
          <w:color w:val="000000" w:themeColor="text1"/>
          <w:kern w:val="21"/>
          <w:sz w:val="32"/>
          <w:szCs w:val="32"/>
          <w:u w:val="none" w:color="auto"/>
          <w:lang w:val="en-US" w:eastAsia="zh-CN" w:bidi="ar-SA"/>
          <w14:textFill>
            <w14:solidFill>
              <w14:schemeClr w14:val="tx1"/>
            </w14:solidFill>
          </w14:textFill>
        </w:rPr>
        <w:t>全面排查消除食品药品、校园安全、道路交通、危化品运输、景区景点等重点领域安全隐患，细化完善总体和专项应急预案，狠抓防灾减灾救灾实战应急演练，坚决遏制重特大事故发生。</w:t>
      </w:r>
    </w:p>
    <w:p w14:paraId="7DC3E048">
      <w:pPr>
        <w:keepNext w:val="0"/>
        <w:keepLines w:val="0"/>
        <w:pageBreakBefore w:val="0"/>
        <w:widowControl w:val="0"/>
        <w:numPr>
          <w:ilvl w:val="0"/>
          <w:numId w:val="0"/>
        </w:numPr>
        <w:pBdr>
          <w:bottom w:val="single" w:color="FFFFFF" w:sz="4" w:space="30"/>
        </w:pBdr>
        <w:tabs>
          <w:tab w:val="left" w:pos="1440"/>
        </w:tabs>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楷体_GB2312" w:hAnsi="楷体_GB2312" w:eastAsia="楷体_GB2312" w:cs="楷体_GB2312"/>
          <w:color w:val="000000" w:themeColor="text1"/>
          <w:kern w:val="21"/>
          <w:sz w:val="32"/>
          <w:szCs w:val="32"/>
          <w:u w:val="none" w:color="auto"/>
          <w:lang w:val="en-US" w:eastAsia="zh-CN" w:bidi="ar-SA"/>
          <w14:textFill>
            <w14:solidFill>
              <w14:schemeClr w14:val="tx1"/>
            </w14:solidFill>
          </w14:textFill>
        </w:rPr>
      </w:pPr>
      <w:r>
        <w:rPr>
          <w:rFonts w:hint="eastAsia" w:ascii="楷体_GB2312" w:hAnsi="楷体_GB2312" w:eastAsia="楷体_GB2312" w:cs="楷体_GB2312"/>
          <w:color w:val="000000" w:themeColor="text1"/>
          <w:kern w:val="21"/>
          <w:sz w:val="32"/>
          <w:szCs w:val="32"/>
          <w:u w:val="none" w:color="auto"/>
          <w:lang w:val="en-US" w:eastAsia="zh-CN" w:bidi="ar-SA"/>
          <w14:textFill>
            <w14:solidFill>
              <w14:schemeClr w14:val="tx1"/>
            </w14:solidFill>
          </w14:textFill>
        </w:rPr>
        <w:t>（二）聚力提质扩量，坚定坚决构建现代产业体系</w:t>
      </w:r>
    </w:p>
    <w:p w14:paraId="723DD83C">
      <w:pPr>
        <w:keepNext w:val="0"/>
        <w:keepLines w:val="0"/>
        <w:pageBreakBefore w:val="0"/>
        <w:widowControl w:val="0"/>
        <w:numPr>
          <w:ilvl w:val="0"/>
          <w:numId w:val="0"/>
        </w:numPr>
        <w:pBdr>
          <w:bottom w:val="single" w:color="FFFFFF" w:sz="4" w:space="30"/>
        </w:pBdr>
        <w:tabs>
          <w:tab w:val="left" w:pos="1440"/>
        </w:tabs>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color w:val="000000" w:themeColor="text1"/>
          <w:kern w:val="21"/>
          <w:sz w:val="32"/>
          <w:szCs w:val="32"/>
          <w:u w:val="none" w:color="auto"/>
          <w:lang w:val="en-US" w:eastAsia="zh-CN" w:bidi="ar-SA"/>
          <w14:textFill>
            <w14:solidFill>
              <w14:schemeClr w14:val="tx1"/>
            </w14:solidFill>
          </w14:textFill>
        </w:rPr>
      </w:pPr>
      <w:r>
        <w:rPr>
          <w:rFonts w:hint="eastAsia" w:ascii="仿宋_GB2312" w:hAnsi="仿宋_GB2312" w:eastAsia="仿宋_GB2312" w:cs="仿宋_GB2312"/>
          <w:color w:val="000000" w:themeColor="text1"/>
          <w:kern w:val="21"/>
          <w:sz w:val="32"/>
          <w:szCs w:val="32"/>
          <w:u w:val="none" w:color="auto"/>
          <w:lang w:val="en-US" w:eastAsia="zh-CN" w:bidi="ar-SA"/>
          <w14:textFill>
            <w14:solidFill>
              <w14:schemeClr w14:val="tx1"/>
            </w14:solidFill>
          </w14:textFill>
        </w:rPr>
        <w:t>聚焦五大产业发展主攻方向，深入实施产业提质升级行动。</w:t>
      </w:r>
    </w:p>
    <w:p w14:paraId="20A58EDC">
      <w:pPr>
        <w:keepNext w:val="0"/>
        <w:keepLines w:val="0"/>
        <w:pageBreakBefore w:val="0"/>
        <w:widowControl w:val="0"/>
        <w:numPr>
          <w:ilvl w:val="0"/>
          <w:numId w:val="0"/>
        </w:numPr>
        <w:pBdr>
          <w:bottom w:val="single" w:color="FFFFFF" w:sz="4" w:space="30"/>
        </w:pBdr>
        <w:tabs>
          <w:tab w:val="left" w:pos="1440"/>
        </w:tabs>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eastAsia" w:ascii="仿宋_GB2312" w:hAnsi="仿宋_GB2312" w:eastAsia="仿宋_GB2312" w:cs="仿宋_GB2312"/>
          <w:color w:val="000000" w:themeColor="text1"/>
          <w:sz w:val="32"/>
          <w:szCs w:val="32"/>
          <w:u w:val="none" w:color="auto"/>
          <w:lang w:val="en-US" w:eastAsia="zh-CN"/>
          <w14:textFill>
            <w14:solidFill>
              <w14:schemeClr w14:val="tx1"/>
            </w14:solidFill>
          </w14:textFill>
        </w:rPr>
      </w:pPr>
      <w:r>
        <w:rPr>
          <w:rFonts w:hint="eastAsia" w:ascii="仿宋_GB2312" w:hAnsi="仿宋_GB2312" w:eastAsia="仿宋_GB2312" w:cs="仿宋_GB2312"/>
          <w:b/>
          <w:bCs/>
          <w:color w:val="000000" w:themeColor="text1"/>
          <w:kern w:val="21"/>
          <w:sz w:val="32"/>
          <w:szCs w:val="32"/>
          <w:u w:val="none" w:color="auto"/>
          <w:lang w:val="en-US" w:eastAsia="zh-CN" w:bidi="ar-SA"/>
          <w14:textFill>
            <w14:solidFill>
              <w14:schemeClr w14:val="tx1"/>
            </w14:solidFill>
          </w14:textFill>
        </w:rPr>
        <w:t>做大做强清洁能源产业。</w:t>
      </w:r>
      <w:r>
        <w:rPr>
          <w:rFonts w:hint="eastAsia" w:ascii="仿宋_GB2312" w:hAnsi="仿宋_GB2312" w:eastAsia="仿宋_GB2312" w:cs="仿宋_GB2312"/>
          <w:color w:val="000000" w:themeColor="text1"/>
          <w:kern w:val="21"/>
          <w:sz w:val="32"/>
          <w:szCs w:val="32"/>
          <w:u w:val="none" w:color="auto"/>
          <w:lang w:val="en-US" w:eastAsia="zh-CN" w:bidi="ar-SA"/>
          <w14:textFill>
            <w14:solidFill>
              <w14:schemeClr w14:val="tx1"/>
            </w14:solidFill>
          </w14:textFill>
        </w:rPr>
        <w:t>扎实推进藏东南水风光一体化清洁能源基地建设，全力做好中能建45万千瓦光伏、大唐60万千瓦光伏风电项目、卡瓦白庆抽水蓄能电站、怒江水电开发等重点项目服务保障。积极探索“光热+供暖”“农光互补+旅游”示范项目，探索发展高海拔地区应用光伏能源和村镇微型内循环电网项目。谋划布局</w:t>
      </w:r>
      <w:r>
        <w:rPr>
          <w:rFonts w:hint="eastAsia" w:ascii="仿宋_GB2312" w:hAnsi="仿宋_GB2312" w:eastAsia="仿宋_GB2312" w:cs="仿宋_GB2312"/>
          <w:i w:val="0"/>
          <w:iCs w:val="0"/>
          <w:caps w:val="0"/>
          <w:color w:val="000000" w:themeColor="text1"/>
          <w:spacing w:val="0"/>
          <w:kern w:val="2"/>
          <w:sz w:val="32"/>
          <w:szCs w:val="32"/>
          <w:u w:val="none" w:color="auto"/>
          <w:shd w:val="clear" w:color="auto" w:fill="FFFFFF"/>
          <w:lang w:val="en-US" w:eastAsia="zh-CN" w:bidi="ar-SA"/>
          <w14:textFill>
            <w14:solidFill>
              <w14:schemeClr w14:val="tx1"/>
            </w14:solidFill>
          </w14:textFill>
        </w:rPr>
        <w:t>设备组装生</w:t>
      </w:r>
      <w:r>
        <w:rPr>
          <w:rFonts w:hint="eastAsia" w:ascii="仿宋_GB2312" w:hAnsi="仿宋_GB2312" w:eastAsia="仿宋_GB2312" w:cs="仿宋_GB2312"/>
          <w:color w:val="000000" w:themeColor="text1"/>
          <w:kern w:val="21"/>
          <w:sz w:val="32"/>
          <w:szCs w:val="32"/>
          <w:u w:val="none" w:color="auto"/>
          <w:lang w:val="en-US" w:eastAsia="zh-CN" w:bidi="ar-SA"/>
          <w14:textFill>
            <w14:solidFill>
              <w14:schemeClr w14:val="tx1"/>
            </w14:solidFill>
          </w14:textFill>
        </w:rPr>
        <w:t>产、制氢制氧制氨、算力中心等上下游产业，着力打造清洁能源产业集群县。</w:t>
      </w:r>
    </w:p>
    <w:p w14:paraId="51974B4E">
      <w:pPr>
        <w:keepNext w:val="0"/>
        <w:keepLines w:val="0"/>
        <w:pageBreakBefore w:val="0"/>
        <w:widowControl w:val="0"/>
        <w:numPr>
          <w:ilvl w:val="0"/>
          <w:numId w:val="0"/>
        </w:numPr>
        <w:pBdr>
          <w:bottom w:val="single" w:color="FFFFFF" w:sz="4" w:space="30"/>
        </w:pBdr>
        <w:tabs>
          <w:tab w:val="left" w:pos="1440"/>
        </w:tabs>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eastAsia" w:ascii="仿宋_GB2312" w:hAnsi="仿宋_GB2312" w:eastAsia="仿宋_GB2312" w:cs="仿宋_GB2312"/>
          <w:color w:val="000000" w:themeColor="text1"/>
          <w:kern w:val="21"/>
          <w:sz w:val="32"/>
          <w:szCs w:val="32"/>
          <w:u w:val="none" w:color="auto"/>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1"/>
          <w:sz w:val="32"/>
          <w:szCs w:val="32"/>
          <w:u w:val="none" w:color="auto"/>
          <w:lang w:val="en-US" w:eastAsia="zh-CN" w:bidi="ar-SA"/>
          <w14:textFill>
            <w14:solidFill>
              <w14:schemeClr w14:val="tx1"/>
            </w14:solidFill>
          </w14:textFill>
        </w:rPr>
        <w:t>做大做强文旅产业。</w:t>
      </w:r>
      <w:r>
        <w:rPr>
          <w:rFonts w:hint="eastAsia" w:ascii="仿宋_GB2312" w:hAnsi="仿宋_GB2312" w:eastAsia="仿宋_GB2312" w:cs="仿宋_GB2312"/>
          <w:color w:val="000000" w:themeColor="text1"/>
          <w:kern w:val="21"/>
          <w:sz w:val="32"/>
          <w:szCs w:val="32"/>
          <w:u w:val="none" w:color="auto"/>
          <w:lang w:val="en-US" w:eastAsia="zh-CN" w:bidi="ar-SA"/>
          <w14:textFill>
            <w14:solidFill>
              <w14:schemeClr w14:val="tx1"/>
            </w14:solidFill>
          </w14:textFill>
        </w:rPr>
        <w:t>大力发展红色旅游，坚持实施“八个八”文旅发展思路，推进景区标准化、规范化管理，实施然乌特色旅游小镇建设。继续推动国道318线生态文旅长廊建设，种植油菜1000亩、薰衣草80亩，打造油菜花海、薰衣草风景线。配合做好国道沿线红色标识和综合服务站点建设。组织庆祝自治区成立60周年系列文化活动，深入开展“红色昌都·振兴奋进”活动，举办好第二届文化旅游节，精心打造特色舞台剧，推动文艺演出进景区。深入实施“引客入八”工程，加强与区内外旅行社合作，加大非物质文化遗产挖掘保护，积极承接举办各类冰雪运动以及自行车等体育赛事。实施文旅人才培养计划，组建文旅讲解团队，加强景区景点宣介推广力度，力争创建星级酒店7家，星级民宿2家，积极推动天路72拐、来古乡村游景区景点申报吉尼斯纪录，加力推动4A级景区创建和自治区“旅游名县”申报，支持发展低空旅游，着力打造文化旅游精品样板县，确保全年旅游接待收入增长10%以上。</w:t>
      </w:r>
    </w:p>
    <w:p w14:paraId="6D6D543F">
      <w:pPr>
        <w:keepNext w:val="0"/>
        <w:keepLines w:val="0"/>
        <w:pageBreakBefore w:val="0"/>
        <w:widowControl w:val="0"/>
        <w:numPr>
          <w:ilvl w:val="0"/>
          <w:numId w:val="0"/>
        </w:numPr>
        <w:pBdr>
          <w:bottom w:val="single" w:color="FFFFFF" w:sz="4" w:space="30"/>
        </w:pBdr>
        <w:tabs>
          <w:tab w:val="left" w:pos="1440"/>
        </w:tabs>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eastAsia" w:ascii="仿宋_GB2312" w:hAnsi="仿宋_GB2312" w:eastAsia="仿宋_GB2312" w:cs="仿宋_GB2312"/>
          <w:color w:val="000000" w:themeColor="text1"/>
          <w:kern w:val="21"/>
          <w:sz w:val="32"/>
          <w:szCs w:val="32"/>
          <w:u w:val="none" w:color="auto"/>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1"/>
          <w:sz w:val="32"/>
          <w:szCs w:val="32"/>
          <w:u w:val="none" w:color="auto"/>
          <w:lang w:val="en-US" w:eastAsia="zh-CN" w:bidi="ar-SA"/>
          <w14:textFill>
            <w14:solidFill>
              <w14:schemeClr w14:val="tx1"/>
            </w14:solidFill>
          </w14:textFill>
        </w:rPr>
        <w:t>做大做强绿色工业。</w:t>
      </w:r>
      <w:r>
        <w:rPr>
          <w:rFonts w:hint="eastAsia" w:ascii="仿宋_GB2312" w:hAnsi="仿宋_GB2312" w:eastAsia="仿宋_GB2312" w:cs="仿宋_GB2312"/>
          <w:color w:val="000000" w:themeColor="text1"/>
          <w:kern w:val="21"/>
          <w:sz w:val="32"/>
          <w:szCs w:val="32"/>
          <w:u w:val="none" w:color="auto"/>
          <w:lang w:val="en-US" w:eastAsia="zh-CN" w:bidi="ar-SA"/>
          <w14:textFill>
            <w14:solidFill>
              <w14:schemeClr w14:val="tx1"/>
            </w14:solidFill>
          </w14:textFill>
        </w:rPr>
        <w:t>全力以赴争取八宿海螺水泥二期项目纳规，服务保障八宿海螺分布式光伏、绿色矿山等项目建设，将八宿海螺园区打造成为集能源、生态、科技、农牧、文旅相互结合的现代化示范园区，积极推动拉根乡瓦达高铝页岩矿资源和白玛镇珠巴村温泉资源有序开发利用，谋划布局低空经济产业发展，着力打造绿色工业园区标杆县。</w:t>
      </w:r>
    </w:p>
    <w:p w14:paraId="6664D905">
      <w:pPr>
        <w:keepNext w:val="0"/>
        <w:keepLines w:val="0"/>
        <w:pageBreakBefore w:val="0"/>
        <w:widowControl w:val="0"/>
        <w:numPr>
          <w:ilvl w:val="0"/>
          <w:numId w:val="0"/>
        </w:numPr>
        <w:pBdr>
          <w:bottom w:val="single" w:color="FFFFFF" w:sz="4" w:space="30"/>
        </w:pBdr>
        <w:tabs>
          <w:tab w:val="left" w:pos="1440"/>
        </w:tabs>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eastAsia" w:ascii="仿宋_GB2312" w:hAnsi="仿宋_GB2312" w:eastAsia="仿宋_GB2312" w:cs="仿宋_GB2312"/>
          <w:i w:val="0"/>
          <w:iCs w:val="0"/>
          <w:caps w:val="0"/>
          <w:color w:val="000000" w:themeColor="text1"/>
          <w:spacing w:val="0"/>
          <w:kern w:val="2"/>
          <w:sz w:val="32"/>
          <w:szCs w:val="32"/>
          <w:u w:val="none" w:color="auto"/>
          <w:shd w:val="clear" w:color="auto" w:fill="FFFFFF"/>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1"/>
          <w:sz w:val="32"/>
          <w:szCs w:val="32"/>
          <w:u w:val="none" w:color="auto"/>
          <w:lang w:val="en-US" w:eastAsia="zh-CN" w:bidi="ar-SA"/>
          <w14:textFill>
            <w14:solidFill>
              <w14:schemeClr w14:val="tx1"/>
            </w14:solidFill>
          </w14:textFill>
        </w:rPr>
        <w:t>做大做强农牧产业。</w:t>
      </w:r>
      <w:r>
        <w:rPr>
          <w:rFonts w:hint="eastAsia" w:ascii="仿宋_GB2312" w:hAnsi="仿宋_GB2312" w:eastAsia="仿宋_GB2312" w:cs="仿宋_GB2312"/>
          <w:i w:val="0"/>
          <w:iCs w:val="0"/>
          <w:caps w:val="0"/>
          <w:color w:val="000000" w:themeColor="text1"/>
          <w:spacing w:val="0"/>
          <w:kern w:val="2"/>
          <w:sz w:val="32"/>
          <w:szCs w:val="32"/>
          <w:u w:val="none" w:color="auto"/>
          <w:shd w:val="clear" w:color="auto" w:fill="FFFFFF"/>
          <w:lang w:val="en-US" w:eastAsia="zh-CN" w:bidi="ar-SA"/>
          <w14:textFill>
            <w14:solidFill>
              <w14:schemeClr w14:val="tx1"/>
            </w14:solidFill>
          </w14:textFill>
        </w:rPr>
        <w:t>加强“三农”人才培养，</w:t>
      </w:r>
      <w:r>
        <w:rPr>
          <w:rFonts w:hint="eastAsia" w:ascii="仿宋_GB2312" w:hAnsi="仿宋_GB2312" w:eastAsia="仿宋_GB2312" w:cs="仿宋_GB2312"/>
          <w:b w:val="0"/>
          <w:bCs w:val="0"/>
          <w:color w:val="000000" w:themeColor="text1"/>
          <w:kern w:val="21"/>
          <w:sz w:val="32"/>
          <w:szCs w:val="32"/>
          <w:u w:val="none" w:color="auto"/>
          <w:lang w:val="en-US" w:eastAsia="zh-CN" w:bidi="ar-SA"/>
          <w14:textFill>
            <w14:solidFill>
              <w14:schemeClr w14:val="tx1"/>
            </w14:solidFill>
          </w14:textFill>
        </w:rPr>
        <w:t>扎实开展农牧业高质量建设三年行动，推动撂荒地复耕复种和闲置温室大棚盘活利用，引导农村土地规范有序流转，</w:t>
      </w:r>
      <w:r>
        <w:rPr>
          <w:rFonts w:hint="eastAsia" w:ascii="仿宋_GB2312" w:hAnsi="仿宋_GB2312" w:eastAsia="仿宋_GB2312" w:cs="仿宋_GB2312"/>
          <w:i w:val="0"/>
          <w:iCs w:val="0"/>
          <w:caps w:val="0"/>
          <w:color w:val="000000" w:themeColor="text1"/>
          <w:spacing w:val="0"/>
          <w:kern w:val="2"/>
          <w:sz w:val="32"/>
          <w:szCs w:val="32"/>
          <w:u w:val="none" w:color="auto"/>
          <w:shd w:val="clear" w:color="auto" w:fill="FFFFFF"/>
          <w:lang w:val="en-US" w:eastAsia="zh-CN" w:bidi="ar-SA"/>
          <w14:textFill>
            <w14:solidFill>
              <w14:schemeClr w14:val="tx1"/>
            </w14:solidFill>
          </w14:textFill>
        </w:rPr>
        <w:t>确保全年粮食播种面积稳定在4.5万亩以上，产量稳定在1.19万吨以上。</w:t>
      </w:r>
      <w:r>
        <w:rPr>
          <w:rFonts w:hint="eastAsia" w:ascii="仿宋_GB2312" w:hAnsi="仿宋_GB2312" w:eastAsia="仿宋_GB2312" w:cs="仿宋_GB2312"/>
          <w:b w:val="0"/>
          <w:bCs w:val="0"/>
          <w:color w:val="000000" w:themeColor="text1"/>
          <w:kern w:val="21"/>
          <w:sz w:val="32"/>
          <w:szCs w:val="32"/>
          <w:u w:val="none" w:color="auto"/>
          <w:lang w:val="en-US" w:eastAsia="zh-CN" w:bidi="ar-SA"/>
          <w14:textFill>
            <w14:solidFill>
              <w14:schemeClr w14:val="tx1"/>
            </w14:solidFill>
          </w14:textFill>
        </w:rPr>
        <w:t>推动</w:t>
      </w:r>
      <w:r>
        <w:rPr>
          <w:rFonts w:hint="eastAsia" w:ascii="仿宋_GB2312" w:hAnsi="仿宋_GB2312" w:eastAsia="仿宋_GB2312" w:cs="仿宋_GB2312"/>
          <w:i w:val="0"/>
          <w:iCs w:val="0"/>
          <w:caps w:val="0"/>
          <w:color w:val="000000" w:themeColor="text1"/>
          <w:spacing w:val="0"/>
          <w:kern w:val="2"/>
          <w:sz w:val="32"/>
          <w:szCs w:val="32"/>
          <w:u w:val="none" w:color="auto"/>
          <w:shd w:val="clear" w:color="auto" w:fill="FFFFFF"/>
          <w:lang w:val="en-US" w:eastAsia="zh-CN" w:bidi="ar-SA"/>
          <w14:textFill>
            <w14:solidFill>
              <w14:schemeClr w14:val="tx1"/>
            </w14:solidFill>
          </w14:textFill>
        </w:rPr>
        <w:t>经济林产业提质增效，扩大有机蔬菜、荞麦等作物种植。强化吉中牦牛育肥基地运营，规范国有牧场管理。深入推进传统农牧产业“增品种、提品质、创品牌”工作，加大“三品一标”产品申报力度，力争全年新增绿色食品1个，地理标志农产品1个，生态原产地保护产品1个，全国名特优新农产品1个，着力打造特色农畜产品供给县。</w:t>
      </w:r>
    </w:p>
    <w:p w14:paraId="08EA1067">
      <w:pPr>
        <w:keepNext w:val="0"/>
        <w:keepLines w:val="0"/>
        <w:pageBreakBefore w:val="0"/>
        <w:widowControl w:val="0"/>
        <w:numPr>
          <w:ilvl w:val="0"/>
          <w:numId w:val="0"/>
        </w:numPr>
        <w:pBdr>
          <w:bottom w:val="single" w:color="FFFFFF" w:sz="4" w:space="30"/>
        </w:pBdr>
        <w:tabs>
          <w:tab w:val="left" w:pos="1440"/>
        </w:tabs>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eastAsia" w:ascii="仿宋_GB2312" w:hAnsi="仿宋_GB2312" w:eastAsia="仿宋_GB2312" w:cs="仿宋_GB2312"/>
          <w:color w:val="000000" w:themeColor="text1"/>
          <w:kern w:val="21"/>
          <w:sz w:val="32"/>
          <w:szCs w:val="32"/>
          <w:u w:val="none" w:color="auto"/>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1"/>
          <w:sz w:val="32"/>
          <w:szCs w:val="32"/>
          <w:u w:val="none" w:color="auto"/>
          <w:lang w:val="en-US" w:eastAsia="zh-CN" w:bidi="ar-SA"/>
          <w14:textFill>
            <w14:solidFill>
              <w14:schemeClr w14:val="tx1"/>
            </w14:solidFill>
          </w14:textFill>
        </w:rPr>
        <w:t>因地制宜发展枢纽经济。</w:t>
      </w:r>
      <w:r>
        <w:rPr>
          <w:rFonts w:hint="eastAsia" w:ascii="仿宋_GB2312" w:hAnsi="仿宋_GB2312" w:eastAsia="仿宋_GB2312" w:cs="仿宋_GB2312"/>
          <w:b w:val="0"/>
          <w:bCs w:val="0"/>
          <w:color w:val="000000" w:themeColor="text1"/>
          <w:kern w:val="21"/>
          <w:sz w:val="32"/>
          <w:szCs w:val="32"/>
          <w:u w:val="none" w:color="auto"/>
          <w:lang w:val="en-US" w:eastAsia="zh-CN" w:bidi="ar-SA"/>
          <w14:textFill>
            <w14:solidFill>
              <w14:schemeClr w14:val="tx1"/>
            </w14:solidFill>
          </w14:textFill>
        </w:rPr>
        <w:t>依托机场、铁路以及主要国省道过境设点优势，</w:t>
      </w:r>
      <w:r>
        <w:rPr>
          <w:rFonts w:hint="eastAsia" w:ascii="仿宋_GB2312" w:hAnsi="仿宋_GB2312" w:eastAsia="仿宋_GB2312" w:cs="仿宋_GB2312"/>
          <w:color w:val="000000" w:themeColor="text1"/>
          <w:kern w:val="21"/>
          <w:sz w:val="32"/>
          <w:szCs w:val="32"/>
          <w:u w:val="none" w:color="auto"/>
          <w:lang w:val="en-US" w:eastAsia="zh-CN" w:bidi="ar-SA"/>
          <w14:textFill>
            <w14:solidFill>
              <w14:schemeClr w14:val="tx1"/>
            </w14:solidFill>
          </w14:textFill>
        </w:rPr>
        <w:t>谋划包装邦达空铁联运综合物流园区以及然乌产站城物流园项目。加力推进益青乡物流园、白玛镇乡村振兴物流园项目建设运营。健全县乡村三级城乡物流仓储、配送体系，积极探索邮快合作模式，推进一站式快递服务站建设，最大限度降低物流和寄递成本，着力打造天地一体枢纽领航县。</w:t>
      </w:r>
    </w:p>
    <w:p w14:paraId="1320A39C">
      <w:pPr>
        <w:keepNext w:val="0"/>
        <w:keepLines w:val="0"/>
        <w:pageBreakBefore w:val="0"/>
        <w:widowControl w:val="0"/>
        <w:numPr>
          <w:ilvl w:val="0"/>
          <w:numId w:val="0"/>
        </w:numPr>
        <w:pBdr>
          <w:bottom w:val="single" w:color="FFFFFF" w:sz="4" w:space="30"/>
        </w:pBdr>
        <w:tabs>
          <w:tab w:val="left" w:pos="1440"/>
        </w:tabs>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楷体_GB2312" w:hAnsi="楷体_GB2312" w:eastAsia="楷体_GB2312" w:cs="楷体_GB2312"/>
          <w:i w:val="0"/>
          <w:iCs w:val="0"/>
          <w:caps w:val="0"/>
          <w:color w:val="000000" w:themeColor="text1"/>
          <w:spacing w:val="0"/>
          <w:kern w:val="2"/>
          <w:sz w:val="32"/>
          <w:szCs w:val="32"/>
          <w:u w:val="none" w:color="auto"/>
          <w:shd w:val="clear" w:color="auto" w:fill="FFFFFF"/>
          <w:lang w:val="en-US" w:eastAsia="zh-CN" w:bidi="ar-SA"/>
          <w14:textFill>
            <w14:solidFill>
              <w14:schemeClr w14:val="tx1"/>
            </w14:solidFill>
          </w14:textFill>
        </w:rPr>
      </w:pPr>
      <w:r>
        <w:rPr>
          <w:rFonts w:hint="eastAsia" w:ascii="楷体_GB2312" w:hAnsi="楷体_GB2312" w:eastAsia="楷体_GB2312" w:cs="楷体_GB2312"/>
          <w:i w:val="0"/>
          <w:iCs w:val="0"/>
          <w:caps w:val="0"/>
          <w:color w:val="000000" w:themeColor="text1"/>
          <w:spacing w:val="0"/>
          <w:kern w:val="2"/>
          <w:sz w:val="32"/>
          <w:szCs w:val="32"/>
          <w:u w:val="none" w:color="auto"/>
          <w:shd w:val="clear" w:color="auto" w:fill="FFFFFF"/>
          <w:lang w:val="en-US" w:eastAsia="zh-CN" w:bidi="ar-SA"/>
          <w14:textFill>
            <w14:solidFill>
              <w14:schemeClr w14:val="tx1"/>
            </w14:solidFill>
          </w14:textFill>
        </w:rPr>
        <w:t>（三）聚力扩投促消，坚定坚决深挖投资消费潜能</w:t>
      </w:r>
    </w:p>
    <w:p w14:paraId="2742253A">
      <w:pPr>
        <w:keepNext w:val="0"/>
        <w:keepLines w:val="0"/>
        <w:pageBreakBefore w:val="0"/>
        <w:widowControl w:val="0"/>
        <w:numPr>
          <w:ilvl w:val="0"/>
          <w:numId w:val="0"/>
        </w:numPr>
        <w:pBdr>
          <w:bottom w:val="single" w:color="FFFFFF" w:sz="4" w:space="30"/>
        </w:pBdr>
        <w:tabs>
          <w:tab w:val="left" w:pos="1440"/>
        </w:tabs>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default" w:ascii="仿宋_GB2312" w:hAnsi="仿宋_GB2312" w:eastAsia="仿宋_GB2312" w:cs="仿宋_GB2312"/>
          <w:color w:val="000000" w:themeColor="text1"/>
          <w:kern w:val="21"/>
          <w:sz w:val="32"/>
          <w:szCs w:val="32"/>
          <w:highlight w:val="none"/>
          <w:u w:val="none" w:color="auto"/>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1"/>
          <w:sz w:val="32"/>
          <w:szCs w:val="32"/>
          <w:highlight w:val="none"/>
          <w:u w:val="none" w:color="auto"/>
          <w:lang w:val="en-US" w:eastAsia="zh-CN" w:bidi="ar-SA"/>
          <w14:textFill>
            <w14:solidFill>
              <w14:schemeClr w14:val="tx1"/>
            </w14:solidFill>
          </w14:textFill>
        </w:rPr>
        <w:t>持续扩大有效投资。</w:t>
      </w:r>
      <w:r>
        <w:rPr>
          <w:rFonts w:hint="eastAsia" w:ascii="仿宋_GB2312" w:hAnsi="仿宋_GB2312" w:eastAsia="仿宋_GB2312" w:cs="仿宋_GB2312"/>
          <w:color w:val="000000" w:themeColor="text1"/>
          <w:kern w:val="21"/>
          <w:sz w:val="32"/>
          <w:szCs w:val="32"/>
          <w:highlight w:val="none"/>
          <w:u w:val="none" w:color="auto"/>
          <w:lang w:val="en-US" w:eastAsia="zh-CN" w:bidi="ar-SA"/>
          <w14:textFill>
            <w14:solidFill>
              <w14:schemeClr w14:val="tx1"/>
            </w14:solidFill>
          </w14:textFill>
        </w:rPr>
        <w:t>聚焦上级政策导向，积极申报“两重”项目，启动八宿“十五五”发展规划编制。实施重大项目建设攻坚年行动。全力做好川藏铁路、国道318提质改造、弄利措水库等重点项目服务保障，全力配合滇藏铁路波密至然乌支线、国道214线加卡至邦达机场段公路前期工作。进一步压实县级领导项目包保责任、行业主管部门主体责任、乡镇“五人小组”属地管理责任。加强和规范对聘用技术人员的管理，探索建立工程质量监督站，强化对第三方服务单位、参建企业履职情况监管，切实选准选好项目，管好用好资金。全面推行容缺受理等制度，提升前置工作质量水平，按季度评出“红旗”“蜗牛”项目，确保年度计划实施的50个项目，序时推进、按时完工。</w:t>
      </w:r>
    </w:p>
    <w:p w14:paraId="0BEFE6C8">
      <w:pPr>
        <w:keepNext w:val="0"/>
        <w:keepLines w:val="0"/>
        <w:pageBreakBefore w:val="0"/>
        <w:widowControl w:val="0"/>
        <w:numPr>
          <w:ilvl w:val="0"/>
          <w:numId w:val="0"/>
        </w:numPr>
        <w:pBdr>
          <w:bottom w:val="single" w:color="FFFFFF" w:sz="4" w:space="30"/>
        </w:pBdr>
        <w:tabs>
          <w:tab w:val="left" w:pos="1440"/>
        </w:tabs>
        <w:kinsoku/>
        <w:wordWrap/>
        <w:overflowPunct/>
        <w:topLinePunct w:val="0"/>
        <w:autoSpaceDE/>
        <w:autoSpaceDN/>
        <w:bidi w:val="0"/>
        <w:adjustRightInd/>
        <w:snapToGrid/>
        <w:spacing w:line="560" w:lineRule="exact"/>
        <w:ind w:right="0" w:rightChars="0"/>
        <w:jc w:val="both"/>
        <w:textAlignment w:val="auto"/>
        <w:outlineLvl w:val="9"/>
        <w:rPr>
          <w:rFonts w:hint="eastAsia"/>
          <w:color w:val="000000" w:themeColor="text1"/>
          <w:u w:val="none" w:color="auto"/>
          <w:lang w:val="en-US" w:eastAsia="zh-CN"/>
          <w14:textFill>
            <w14:solidFill>
              <w14:schemeClr w14:val="tx1"/>
            </w14:solidFill>
          </w14:textFill>
        </w:rPr>
      </w:pPr>
      <w:r>
        <w:rPr>
          <w:rFonts w:hint="eastAsia" w:ascii="仿宋_GB2312" w:hAnsi="仿宋_GB2312" w:eastAsia="仿宋_GB2312" w:cs="仿宋_GB2312"/>
          <w:color w:val="000000" w:themeColor="text1"/>
          <w:kern w:val="21"/>
          <w:sz w:val="32"/>
          <w:szCs w:val="32"/>
          <w:highlight w:val="none"/>
          <w:u w:val="none" w:color="auto"/>
          <w:lang w:val="en-US" w:eastAsia="zh-CN" w:bidi="ar-SA"/>
          <w14:textFill>
            <w14:solidFill>
              <w14:schemeClr w14:val="tx1"/>
            </w14:solidFill>
          </w14:textFill>
        </w:rPr>
        <w:t xml:space="preserve">    </w:t>
      </w:r>
      <w:r>
        <w:rPr>
          <w:rFonts w:hint="eastAsia" w:ascii="仿宋_GB2312" w:hAnsi="仿宋_GB2312" w:eastAsia="仿宋_GB2312" w:cs="仿宋_GB2312"/>
          <w:b/>
          <w:bCs/>
          <w:color w:val="000000" w:themeColor="text1"/>
          <w:kern w:val="21"/>
          <w:sz w:val="32"/>
          <w:szCs w:val="32"/>
          <w:highlight w:val="none"/>
          <w:u w:val="none" w:color="auto"/>
          <w:lang w:val="en-US" w:eastAsia="zh-CN" w:bidi="ar-SA"/>
          <w14:textFill>
            <w14:solidFill>
              <w14:schemeClr w14:val="tx1"/>
            </w14:solidFill>
          </w14:textFill>
        </w:rPr>
        <w:t>持续激发消费潜能。</w:t>
      </w:r>
      <w:r>
        <w:rPr>
          <w:rFonts w:hint="eastAsia" w:ascii="仿宋_GB2312" w:hAnsi="仿宋_GB2312" w:eastAsia="仿宋_GB2312" w:cs="仿宋_GB2312"/>
          <w:color w:val="000000" w:themeColor="text1"/>
          <w:kern w:val="21"/>
          <w:sz w:val="32"/>
          <w:szCs w:val="32"/>
          <w:highlight w:val="none"/>
          <w:u w:val="none" w:color="auto"/>
          <w:lang w:val="en-US" w:eastAsia="zh-CN" w:bidi="ar-SA"/>
          <w14:textFill>
            <w14:solidFill>
              <w14:schemeClr w14:val="tx1"/>
            </w14:solidFill>
          </w14:textFill>
        </w:rPr>
        <w:t>实施提振消费专项行动，全年安排300万元资金支持促消费系列活动。因地施策推动“两新”政策落实。推动促消费活动向乡镇延伸覆盖。大力培育限上商贸企业，力争全年新增限上企业4家以上。积极推动国道318县城段商圈业态升级，培育丰富乃然新区、南大街商业街区消费业态，积极开展美食文化活动。</w:t>
      </w:r>
    </w:p>
    <w:p w14:paraId="38DFFC76">
      <w:pPr>
        <w:keepNext w:val="0"/>
        <w:keepLines w:val="0"/>
        <w:pageBreakBefore w:val="0"/>
        <w:widowControl w:val="0"/>
        <w:numPr>
          <w:ilvl w:val="0"/>
          <w:numId w:val="0"/>
        </w:numPr>
        <w:pBdr>
          <w:bottom w:val="single" w:color="FFFFFF" w:sz="4" w:space="30"/>
        </w:pBdr>
        <w:tabs>
          <w:tab w:val="left" w:pos="1440"/>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_GB2312" w:hAnsi="楷体_GB2312" w:eastAsia="楷体_GB2312" w:cs="楷体_GB2312"/>
          <w:color w:val="000000" w:themeColor="text1"/>
          <w:kern w:val="21"/>
          <w:sz w:val="32"/>
          <w:szCs w:val="32"/>
          <w:u w:val="none" w:color="auto"/>
          <w:lang w:val="en-US" w:eastAsia="zh-CN" w:bidi="ar-SA"/>
          <w14:textFill>
            <w14:solidFill>
              <w14:schemeClr w14:val="tx1"/>
            </w14:solidFill>
          </w14:textFill>
        </w:rPr>
      </w:pPr>
      <w:r>
        <w:rPr>
          <w:rFonts w:hint="eastAsia" w:ascii="楷体_GB2312" w:hAnsi="楷体_GB2312" w:eastAsia="楷体_GB2312" w:cs="楷体_GB2312"/>
          <w:color w:val="000000" w:themeColor="text1"/>
          <w:kern w:val="21"/>
          <w:sz w:val="32"/>
          <w:szCs w:val="32"/>
          <w:u w:val="none" w:color="auto"/>
          <w:lang w:val="en-US" w:eastAsia="zh-CN" w:bidi="ar-SA"/>
          <w14:textFill>
            <w14:solidFill>
              <w14:schemeClr w14:val="tx1"/>
            </w14:solidFill>
          </w14:textFill>
        </w:rPr>
        <w:t>（四）</w:t>
      </w:r>
      <w:r>
        <w:rPr>
          <w:rFonts w:hint="default" w:ascii="楷体_GB2312" w:hAnsi="楷体_GB2312" w:eastAsia="楷体_GB2312" w:cs="楷体_GB2312"/>
          <w:color w:val="000000" w:themeColor="text1"/>
          <w:kern w:val="21"/>
          <w:sz w:val="32"/>
          <w:szCs w:val="32"/>
          <w:u w:val="none" w:color="auto"/>
          <w:lang w:val="en-US" w:eastAsia="zh-CN" w:bidi="ar-SA"/>
          <w14:textFill>
            <w14:solidFill>
              <w14:schemeClr w14:val="tx1"/>
            </w14:solidFill>
          </w14:textFill>
        </w:rPr>
        <w:t>聚力</w:t>
      </w:r>
      <w:r>
        <w:rPr>
          <w:rFonts w:hint="eastAsia" w:ascii="楷体_GB2312" w:hAnsi="楷体_GB2312" w:eastAsia="楷体_GB2312" w:cs="楷体_GB2312"/>
          <w:color w:val="000000" w:themeColor="text1"/>
          <w:kern w:val="21"/>
          <w:sz w:val="32"/>
          <w:szCs w:val="32"/>
          <w:u w:val="none" w:color="auto"/>
          <w:lang w:val="en-US" w:eastAsia="zh-CN" w:bidi="ar-SA"/>
          <w14:textFill>
            <w14:solidFill>
              <w14:schemeClr w14:val="tx1"/>
            </w14:solidFill>
          </w14:textFill>
        </w:rPr>
        <w:t>融合发展</w:t>
      </w:r>
      <w:r>
        <w:rPr>
          <w:rFonts w:hint="default" w:ascii="楷体_GB2312" w:hAnsi="楷体_GB2312" w:eastAsia="楷体_GB2312" w:cs="楷体_GB2312"/>
          <w:color w:val="000000" w:themeColor="text1"/>
          <w:kern w:val="21"/>
          <w:sz w:val="32"/>
          <w:szCs w:val="32"/>
          <w:u w:val="none" w:color="auto"/>
          <w:lang w:val="en-US" w:eastAsia="zh-CN" w:bidi="ar-SA"/>
          <w14:textFill>
            <w14:solidFill>
              <w14:schemeClr w14:val="tx1"/>
            </w14:solidFill>
          </w14:textFill>
        </w:rPr>
        <w:t>，</w:t>
      </w:r>
      <w:r>
        <w:rPr>
          <w:rFonts w:hint="eastAsia" w:ascii="楷体_GB2312" w:hAnsi="楷体_GB2312" w:eastAsia="楷体_GB2312" w:cs="楷体_GB2312"/>
          <w:color w:val="000000" w:themeColor="text1"/>
          <w:kern w:val="21"/>
          <w:sz w:val="32"/>
          <w:szCs w:val="32"/>
          <w:u w:val="none" w:color="auto"/>
          <w:lang w:val="en-US" w:eastAsia="zh-CN" w:bidi="ar-SA"/>
          <w14:textFill>
            <w14:solidFill>
              <w14:schemeClr w14:val="tx1"/>
            </w14:solidFill>
          </w14:textFill>
        </w:rPr>
        <w:t>坚定坚决</w:t>
      </w:r>
      <w:r>
        <w:rPr>
          <w:rFonts w:hint="default" w:ascii="楷体_GB2312" w:hAnsi="楷体_GB2312" w:eastAsia="楷体_GB2312" w:cs="楷体_GB2312"/>
          <w:color w:val="000000" w:themeColor="text1"/>
          <w:kern w:val="21"/>
          <w:sz w:val="32"/>
          <w:szCs w:val="32"/>
          <w:u w:val="none" w:color="auto"/>
          <w:lang w:val="en-US" w:eastAsia="zh-CN" w:bidi="ar-SA"/>
          <w14:textFill>
            <w14:solidFill>
              <w14:schemeClr w14:val="tx1"/>
            </w14:solidFill>
          </w14:textFill>
        </w:rPr>
        <w:t>推进城乡</w:t>
      </w:r>
      <w:r>
        <w:rPr>
          <w:rFonts w:hint="eastAsia" w:ascii="楷体_GB2312" w:hAnsi="楷体_GB2312" w:eastAsia="楷体_GB2312" w:cs="楷体_GB2312"/>
          <w:color w:val="000000" w:themeColor="text1"/>
          <w:kern w:val="21"/>
          <w:sz w:val="32"/>
          <w:szCs w:val="32"/>
          <w:u w:val="none" w:color="auto"/>
          <w:lang w:val="en-US" w:eastAsia="zh-CN" w:bidi="ar-SA"/>
          <w14:textFill>
            <w14:solidFill>
              <w14:schemeClr w14:val="tx1"/>
            </w14:solidFill>
          </w14:textFill>
        </w:rPr>
        <w:t>全面发展</w:t>
      </w:r>
    </w:p>
    <w:p w14:paraId="0DB2AE30">
      <w:pPr>
        <w:keepNext w:val="0"/>
        <w:keepLines w:val="0"/>
        <w:pageBreakBefore w:val="0"/>
        <w:widowControl w:val="0"/>
        <w:numPr>
          <w:ilvl w:val="0"/>
          <w:numId w:val="0"/>
        </w:numPr>
        <w:pBdr>
          <w:bottom w:val="single" w:color="FFFFFF" w:sz="4" w:space="30"/>
        </w:pBdr>
        <w:tabs>
          <w:tab w:val="left" w:pos="1440"/>
        </w:tabs>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default" w:ascii="仿宋_GB2312" w:hAnsi="仿宋_GB2312" w:eastAsia="仿宋_GB2312" w:cs="仿宋_GB2312"/>
          <w:color w:val="000000" w:themeColor="text1"/>
          <w:kern w:val="21"/>
          <w:sz w:val="32"/>
          <w:szCs w:val="32"/>
          <w:u w:val="none" w:color="auto"/>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1"/>
          <w:sz w:val="32"/>
          <w:szCs w:val="32"/>
          <w:u w:val="none" w:color="auto"/>
          <w:lang w:val="en-US" w:eastAsia="zh-CN" w:bidi="ar-SA"/>
          <w14:textFill>
            <w14:solidFill>
              <w14:schemeClr w14:val="tx1"/>
            </w14:solidFill>
          </w14:textFill>
        </w:rPr>
        <w:t>推进城乡融合发展。</w:t>
      </w:r>
      <w:r>
        <w:rPr>
          <w:rFonts w:hint="default" w:ascii="仿宋_GB2312" w:hAnsi="仿宋_GB2312" w:eastAsia="仿宋_GB2312" w:cs="仿宋_GB2312"/>
          <w:color w:val="000000" w:themeColor="text1"/>
          <w:kern w:val="21"/>
          <w:sz w:val="32"/>
          <w:szCs w:val="32"/>
          <w:u w:val="none" w:color="auto"/>
          <w:lang w:val="en-US" w:eastAsia="zh-CN" w:bidi="ar-SA"/>
          <w14:textFill>
            <w14:solidFill>
              <w14:schemeClr w14:val="tx1"/>
            </w14:solidFill>
          </w14:textFill>
        </w:rPr>
        <w:t>加强城市风貌设计，</w:t>
      </w:r>
      <w:r>
        <w:rPr>
          <w:rFonts w:hint="eastAsia" w:ascii="仿宋_GB2312" w:hAnsi="仿宋_GB2312" w:eastAsia="仿宋_GB2312" w:cs="仿宋_GB2312"/>
          <w:color w:val="000000" w:themeColor="text1"/>
          <w:kern w:val="21"/>
          <w:sz w:val="32"/>
          <w:szCs w:val="32"/>
          <w:u w:val="none" w:color="auto"/>
          <w:lang w:val="en-US" w:eastAsia="zh-CN" w:bidi="ar-SA"/>
          <w14:textFill>
            <w14:solidFill>
              <w14:schemeClr w14:val="tx1"/>
            </w14:solidFill>
          </w14:textFill>
        </w:rPr>
        <w:t>科学编制八宿县中心城区控制性详细规划，着力</w:t>
      </w:r>
      <w:r>
        <w:rPr>
          <w:rFonts w:hint="default" w:ascii="仿宋_GB2312" w:hAnsi="仿宋_GB2312" w:eastAsia="仿宋_GB2312" w:cs="仿宋_GB2312"/>
          <w:color w:val="000000" w:themeColor="text1"/>
          <w:kern w:val="21"/>
          <w:sz w:val="32"/>
          <w:szCs w:val="32"/>
          <w:u w:val="none" w:color="auto"/>
          <w:lang w:val="en-US" w:eastAsia="zh-CN" w:bidi="ar-SA"/>
          <w14:textFill>
            <w14:solidFill>
              <w14:schemeClr w14:val="tx1"/>
            </w14:solidFill>
          </w14:textFill>
        </w:rPr>
        <w:t>破解耕地指标困境，完善乃然新区</w:t>
      </w:r>
      <w:r>
        <w:rPr>
          <w:rFonts w:hint="eastAsia" w:ascii="仿宋_GB2312" w:hAnsi="仿宋_GB2312" w:eastAsia="仿宋_GB2312" w:cs="仿宋_GB2312"/>
          <w:color w:val="000000" w:themeColor="text1"/>
          <w:kern w:val="21"/>
          <w:sz w:val="32"/>
          <w:szCs w:val="32"/>
          <w:u w:val="none" w:color="auto"/>
          <w:lang w:val="en-US" w:eastAsia="zh-CN" w:bidi="ar-SA"/>
          <w14:textFill>
            <w14:solidFill>
              <w14:schemeClr w14:val="tx1"/>
            </w14:solidFill>
          </w14:textFill>
        </w:rPr>
        <w:t>配套设施建设。持续推进城市更新和城镇老旧小区改造，强化</w:t>
      </w:r>
      <w:r>
        <w:rPr>
          <w:rFonts w:hint="default" w:ascii="仿宋_GB2312" w:hAnsi="仿宋_GB2312" w:eastAsia="仿宋_GB2312" w:cs="仿宋_GB2312"/>
          <w:color w:val="000000" w:themeColor="text1"/>
          <w:kern w:val="21"/>
          <w:sz w:val="32"/>
          <w:szCs w:val="32"/>
          <w:u w:val="none" w:color="auto"/>
          <w:lang w:val="en-US" w:eastAsia="zh-CN" w:bidi="ar-SA"/>
          <w14:textFill>
            <w14:solidFill>
              <w14:schemeClr w14:val="tx1"/>
            </w14:solidFill>
          </w14:textFill>
        </w:rPr>
        <w:t>城市交通秩序管理</w:t>
      </w:r>
      <w:r>
        <w:rPr>
          <w:rFonts w:hint="eastAsia" w:ascii="仿宋_GB2312" w:hAnsi="仿宋_GB2312" w:eastAsia="仿宋_GB2312" w:cs="仿宋_GB2312"/>
          <w:color w:val="000000" w:themeColor="text1"/>
          <w:kern w:val="21"/>
          <w:sz w:val="32"/>
          <w:szCs w:val="32"/>
          <w:u w:val="none" w:color="auto"/>
          <w:lang w:val="en-US" w:eastAsia="zh-CN" w:bidi="ar-SA"/>
          <w14:textFill>
            <w14:solidFill>
              <w14:schemeClr w14:val="tx1"/>
            </w14:solidFill>
          </w14:textFill>
        </w:rPr>
        <w:t>。加力推进滨河南路广场和市政道路新建工程，新建县城停车场2个，完善</w:t>
      </w:r>
      <w:r>
        <w:rPr>
          <w:rFonts w:hint="default" w:ascii="仿宋_GB2312" w:hAnsi="仿宋_GB2312" w:eastAsia="仿宋_GB2312" w:cs="仿宋_GB2312"/>
          <w:color w:val="000000" w:themeColor="text1"/>
          <w:kern w:val="21"/>
          <w:sz w:val="32"/>
          <w:szCs w:val="32"/>
          <w:u w:val="none" w:color="auto"/>
          <w:lang w:val="en-US" w:eastAsia="zh-CN" w:bidi="ar-SA"/>
          <w14:textFill>
            <w14:solidFill>
              <w14:schemeClr w14:val="tx1"/>
            </w14:solidFill>
          </w14:textFill>
        </w:rPr>
        <w:t>城市功能</w:t>
      </w:r>
      <w:r>
        <w:rPr>
          <w:rFonts w:hint="eastAsia" w:ascii="仿宋_GB2312" w:hAnsi="仿宋_GB2312" w:eastAsia="仿宋_GB2312" w:cs="仿宋_GB2312"/>
          <w:color w:val="000000" w:themeColor="text1"/>
          <w:kern w:val="21"/>
          <w:sz w:val="32"/>
          <w:szCs w:val="32"/>
          <w:u w:val="none" w:color="auto"/>
          <w:lang w:val="en-US" w:eastAsia="zh-CN" w:bidi="ar-SA"/>
          <w14:textFill>
            <w14:solidFill>
              <w14:schemeClr w14:val="tx1"/>
            </w14:solidFill>
          </w14:textFill>
        </w:rPr>
        <w:t>、</w:t>
      </w:r>
      <w:r>
        <w:rPr>
          <w:rFonts w:hint="default" w:ascii="仿宋_GB2312" w:hAnsi="仿宋_GB2312" w:eastAsia="仿宋_GB2312" w:cs="仿宋_GB2312"/>
          <w:color w:val="000000" w:themeColor="text1"/>
          <w:kern w:val="21"/>
          <w:sz w:val="32"/>
          <w:szCs w:val="32"/>
          <w:u w:val="none" w:color="auto"/>
          <w:lang w:val="en-US" w:eastAsia="zh-CN" w:bidi="ar-SA"/>
          <w14:textFill>
            <w14:solidFill>
              <w14:schemeClr w14:val="tx1"/>
            </w14:solidFill>
          </w14:textFill>
        </w:rPr>
        <w:t>提升</w:t>
      </w:r>
      <w:r>
        <w:rPr>
          <w:rFonts w:hint="eastAsia" w:ascii="仿宋_GB2312" w:hAnsi="仿宋_GB2312" w:eastAsia="仿宋_GB2312" w:cs="仿宋_GB2312"/>
          <w:color w:val="000000" w:themeColor="text1"/>
          <w:kern w:val="21"/>
          <w:sz w:val="32"/>
          <w:szCs w:val="32"/>
          <w:u w:val="none" w:color="auto"/>
          <w:lang w:val="en-US" w:eastAsia="zh-CN" w:bidi="ar-SA"/>
          <w14:textFill>
            <w14:solidFill>
              <w14:schemeClr w14:val="tx1"/>
            </w14:solidFill>
          </w14:textFill>
        </w:rPr>
        <w:t>城市品质</w:t>
      </w:r>
      <w:r>
        <w:rPr>
          <w:rFonts w:hint="default" w:ascii="仿宋_GB2312" w:hAnsi="仿宋_GB2312" w:eastAsia="仿宋_GB2312" w:cs="仿宋_GB2312"/>
          <w:color w:val="000000" w:themeColor="text1"/>
          <w:kern w:val="21"/>
          <w:sz w:val="32"/>
          <w:szCs w:val="32"/>
          <w:u w:val="none" w:color="auto"/>
          <w:lang w:val="en-US" w:eastAsia="zh-CN" w:bidi="ar-SA"/>
          <w14:textFill>
            <w14:solidFill>
              <w14:schemeClr w14:val="tx1"/>
            </w14:solidFill>
          </w14:textFill>
        </w:rPr>
        <w:t>。</w:t>
      </w:r>
      <w:r>
        <w:rPr>
          <w:rFonts w:hint="eastAsia" w:ascii="仿宋_GB2312" w:hAnsi="仿宋_GB2312" w:eastAsia="仿宋_GB2312" w:cs="仿宋_GB2312"/>
          <w:color w:val="000000" w:themeColor="text1"/>
          <w:kern w:val="21"/>
          <w:sz w:val="32"/>
          <w:szCs w:val="32"/>
          <w:u w:val="none" w:color="auto"/>
          <w:lang w:val="en-US" w:eastAsia="zh-CN" w:bidi="ar-SA"/>
          <w14:textFill>
            <w14:solidFill>
              <w14:schemeClr w14:val="tx1"/>
            </w14:solidFill>
          </w14:textFill>
        </w:rPr>
        <w:t>立足</w:t>
      </w:r>
      <w:r>
        <w:rPr>
          <w:rFonts w:hint="default" w:ascii="仿宋_GB2312" w:hAnsi="仿宋_GB2312" w:eastAsia="仿宋_GB2312" w:cs="仿宋_GB2312"/>
          <w:color w:val="000000" w:themeColor="text1"/>
          <w:kern w:val="21"/>
          <w:sz w:val="32"/>
          <w:szCs w:val="32"/>
          <w:u w:val="none" w:color="auto"/>
          <w:lang w:val="en-US" w:eastAsia="zh-CN" w:bidi="ar-SA"/>
          <w14:textFill>
            <w14:solidFill>
              <w14:schemeClr w14:val="tx1"/>
            </w14:solidFill>
          </w14:textFill>
        </w:rPr>
        <w:t>乡</w:t>
      </w:r>
      <w:r>
        <w:rPr>
          <w:rFonts w:hint="eastAsia" w:ascii="仿宋_GB2312" w:hAnsi="仿宋_GB2312" w:eastAsia="仿宋_GB2312" w:cs="仿宋_GB2312"/>
          <w:color w:val="000000" w:themeColor="text1"/>
          <w:kern w:val="21"/>
          <w:sz w:val="32"/>
          <w:szCs w:val="32"/>
          <w:u w:val="none" w:color="auto"/>
          <w:lang w:val="en-US" w:eastAsia="zh-CN" w:bidi="ar-SA"/>
          <w14:textFill>
            <w14:solidFill>
              <w14:schemeClr w14:val="tx1"/>
            </w14:solidFill>
          </w14:textFill>
        </w:rPr>
        <w:t>（</w:t>
      </w:r>
      <w:r>
        <w:rPr>
          <w:rFonts w:hint="default" w:ascii="仿宋_GB2312" w:hAnsi="仿宋_GB2312" w:eastAsia="仿宋_GB2312" w:cs="仿宋_GB2312"/>
          <w:color w:val="000000" w:themeColor="text1"/>
          <w:kern w:val="21"/>
          <w:sz w:val="32"/>
          <w:szCs w:val="32"/>
          <w:u w:val="none" w:color="auto"/>
          <w:lang w:val="en-US" w:eastAsia="zh-CN" w:bidi="ar-SA"/>
          <w14:textFill>
            <w14:solidFill>
              <w14:schemeClr w14:val="tx1"/>
            </w14:solidFill>
          </w14:textFill>
        </w:rPr>
        <w:t>镇</w:t>
      </w:r>
      <w:r>
        <w:rPr>
          <w:rFonts w:hint="eastAsia" w:ascii="仿宋_GB2312" w:hAnsi="仿宋_GB2312" w:eastAsia="仿宋_GB2312" w:cs="仿宋_GB2312"/>
          <w:color w:val="000000" w:themeColor="text1"/>
          <w:kern w:val="21"/>
          <w:sz w:val="32"/>
          <w:szCs w:val="32"/>
          <w:u w:val="none" w:color="auto"/>
          <w:lang w:val="en-US" w:eastAsia="zh-CN" w:bidi="ar-SA"/>
          <w14:textFill>
            <w14:solidFill>
              <w14:schemeClr w14:val="tx1"/>
            </w14:solidFill>
          </w14:textFill>
        </w:rPr>
        <w:t>）区位</w:t>
      </w:r>
      <w:r>
        <w:rPr>
          <w:rFonts w:hint="default" w:ascii="仿宋_GB2312" w:hAnsi="仿宋_GB2312" w:eastAsia="仿宋_GB2312" w:cs="仿宋_GB2312"/>
          <w:color w:val="000000" w:themeColor="text1"/>
          <w:kern w:val="21"/>
          <w:sz w:val="32"/>
          <w:szCs w:val="32"/>
          <w:u w:val="none" w:color="auto"/>
          <w:lang w:val="en-US" w:eastAsia="zh-CN" w:bidi="ar-SA"/>
          <w14:textFill>
            <w14:solidFill>
              <w14:schemeClr w14:val="tx1"/>
            </w14:solidFill>
          </w14:textFill>
        </w:rPr>
        <w:t>资源禀赋和发展基础，重点抓好</w:t>
      </w:r>
      <w:r>
        <w:rPr>
          <w:rFonts w:hint="eastAsia" w:ascii="仿宋_GB2312" w:hAnsi="仿宋_GB2312" w:eastAsia="仿宋_GB2312" w:cs="仿宋_GB2312"/>
          <w:color w:val="000000" w:themeColor="text1"/>
          <w:kern w:val="21"/>
          <w:sz w:val="32"/>
          <w:szCs w:val="32"/>
          <w:u w:val="none" w:color="auto"/>
          <w:lang w:val="en-US" w:eastAsia="zh-CN" w:bidi="ar-SA"/>
          <w14:textFill>
            <w14:solidFill>
              <w14:schemeClr w14:val="tx1"/>
            </w14:solidFill>
          </w14:textFill>
        </w:rPr>
        <w:t>益青</w:t>
      </w:r>
      <w:r>
        <w:rPr>
          <w:rFonts w:hint="default" w:ascii="仿宋_GB2312" w:hAnsi="仿宋_GB2312" w:eastAsia="仿宋_GB2312" w:cs="仿宋_GB2312"/>
          <w:color w:val="000000" w:themeColor="text1"/>
          <w:kern w:val="21"/>
          <w:sz w:val="32"/>
          <w:szCs w:val="32"/>
          <w:u w:val="none" w:color="auto"/>
          <w:lang w:val="en-US" w:eastAsia="zh-CN" w:bidi="ar-SA"/>
          <w14:textFill>
            <w14:solidFill>
              <w14:schemeClr w14:val="tx1"/>
            </w14:solidFill>
          </w14:textFill>
        </w:rPr>
        <w:t>、邦达、白玛、然乌、拉根、同卡等重点乡</w:t>
      </w:r>
      <w:r>
        <w:rPr>
          <w:rFonts w:hint="eastAsia" w:ascii="仿宋_GB2312" w:hAnsi="仿宋_GB2312" w:eastAsia="仿宋_GB2312" w:cs="仿宋_GB2312"/>
          <w:color w:val="000000" w:themeColor="text1"/>
          <w:kern w:val="21"/>
          <w:sz w:val="32"/>
          <w:szCs w:val="32"/>
          <w:u w:val="none" w:color="auto"/>
          <w:lang w:val="en-US" w:eastAsia="zh-CN" w:bidi="ar-SA"/>
          <w14:textFill>
            <w14:solidFill>
              <w14:schemeClr w14:val="tx1"/>
            </w14:solidFill>
          </w14:textFill>
        </w:rPr>
        <w:t>（</w:t>
      </w:r>
      <w:r>
        <w:rPr>
          <w:rFonts w:hint="default" w:ascii="仿宋_GB2312" w:hAnsi="仿宋_GB2312" w:eastAsia="仿宋_GB2312" w:cs="仿宋_GB2312"/>
          <w:color w:val="000000" w:themeColor="text1"/>
          <w:kern w:val="21"/>
          <w:sz w:val="32"/>
          <w:szCs w:val="32"/>
          <w:u w:val="none" w:color="auto"/>
          <w:lang w:val="en-US" w:eastAsia="zh-CN" w:bidi="ar-SA"/>
          <w14:textFill>
            <w14:solidFill>
              <w14:schemeClr w14:val="tx1"/>
            </w14:solidFill>
          </w14:textFill>
        </w:rPr>
        <w:t>镇</w:t>
      </w:r>
      <w:r>
        <w:rPr>
          <w:rFonts w:hint="eastAsia" w:ascii="仿宋_GB2312" w:hAnsi="仿宋_GB2312" w:eastAsia="仿宋_GB2312" w:cs="仿宋_GB2312"/>
          <w:color w:val="000000" w:themeColor="text1"/>
          <w:kern w:val="21"/>
          <w:sz w:val="32"/>
          <w:szCs w:val="32"/>
          <w:u w:val="none" w:color="auto"/>
          <w:lang w:val="en-US" w:eastAsia="zh-CN" w:bidi="ar-SA"/>
          <w14:textFill>
            <w14:solidFill>
              <w14:schemeClr w14:val="tx1"/>
            </w14:solidFill>
          </w14:textFill>
        </w:rPr>
        <w:t>）</w:t>
      </w:r>
      <w:r>
        <w:rPr>
          <w:rFonts w:hint="default" w:ascii="仿宋_GB2312" w:hAnsi="仿宋_GB2312" w:eastAsia="仿宋_GB2312" w:cs="仿宋_GB2312"/>
          <w:color w:val="000000" w:themeColor="text1"/>
          <w:kern w:val="21"/>
          <w:sz w:val="32"/>
          <w:szCs w:val="32"/>
          <w:u w:val="none" w:color="auto"/>
          <w:lang w:val="en-US" w:eastAsia="zh-CN" w:bidi="ar-SA"/>
          <w14:textFill>
            <w14:solidFill>
              <w14:schemeClr w14:val="tx1"/>
            </w14:solidFill>
          </w14:textFill>
        </w:rPr>
        <w:t>建设，因地制宜培育壮大商贸强镇、文旅名镇、农牧小镇和特色小镇。抓好传统村落保护，积极申报文化名镇名村，争创传统村落集中连片保护利用示范县。</w:t>
      </w:r>
    </w:p>
    <w:p w14:paraId="635392EC">
      <w:pPr>
        <w:keepNext w:val="0"/>
        <w:keepLines w:val="0"/>
        <w:pageBreakBefore w:val="0"/>
        <w:widowControl w:val="0"/>
        <w:numPr>
          <w:ilvl w:val="0"/>
          <w:numId w:val="0"/>
        </w:numPr>
        <w:pBdr>
          <w:bottom w:val="single" w:color="FFFFFF" w:sz="4" w:space="30"/>
        </w:pBdr>
        <w:tabs>
          <w:tab w:val="left" w:pos="1440"/>
        </w:tabs>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default" w:ascii="仿宋_GB2312" w:hAnsi="仿宋_GB2312" w:eastAsia="仿宋_GB2312" w:cs="仿宋_GB2312"/>
          <w:color w:val="000000" w:themeColor="text1"/>
          <w:kern w:val="21"/>
          <w:sz w:val="32"/>
          <w:szCs w:val="32"/>
          <w:u w:val="none" w:color="auto"/>
          <w:lang w:val="en-US" w:eastAsia="zh-CN" w:bidi="ar-SA"/>
          <w14:textFill>
            <w14:solidFill>
              <w14:schemeClr w14:val="tx1"/>
            </w14:solidFill>
          </w14:textFill>
        </w:rPr>
      </w:pPr>
      <w:r>
        <w:rPr>
          <w:rFonts w:hint="default" w:ascii="仿宋_GB2312" w:hAnsi="仿宋_GB2312" w:eastAsia="仿宋_GB2312" w:cs="仿宋_GB2312"/>
          <w:b/>
          <w:bCs/>
          <w:color w:val="000000" w:themeColor="text1"/>
          <w:kern w:val="21"/>
          <w:sz w:val="32"/>
          <w:szCs w:val="32"/>
          <w:u w:val="none" w:color="auto"/>
          <w:lang w:val="en-US" w:eastAsia="zh-CN" w:bidi="ar-SA"/>
          <w14:textFill>
            <w14:solidFill>
              <w14:schemeClr w14:val="tx1"/>
            </w14:solidFill>
          </w14:textFill>
        </w:rPr>
        <w:t>推进乡村</w:t>
      </w:r>
      <w:r>
        <w:rPr>
          <w:rFonts w:hint="eastAsia" w:ascii="仿宋_GB2312" w:hAnsi="仿宋_GB2312" w:eastAsia="仿宋_GB2312" w:cs="仿宋_GB2312"/>
          <w:b/>
          <w:bCs/>
          <w:color w:val="000000" w:themeColor="text1"/>
          <w:kern w:val="21"/>
          <w:sz w:val="32"/>
          <w:szCs w:val="32"/>
          <w:u w:val="none" w:color="auto"/>
          <w:lang w:val="en-US" w:eastAsia="zh-CN" w:bidi="ar-SA"/>
          <w14:textFill>
            <w14:solidFill>
              <w14:schemeClr w14:val="tx1"/>
            </w14:solidFill>
          </w14:textFill>
        </w:rPr>
        <w:t>全面</w:t>
      </w:r>
      <w:r>
        <w:rPr>
          <w:rFonts w:hint="default" w:ascii="仿宋_GB2312" w:hAnsi="仿宋_GB2312" w:eastAsia="仿宋_GB2312" w:cs="仿宋_GB2312"/>
          <w:b/>
          <w:bCs/>
          <w:color w:val="000000" w:themeColor="text1"/>
          <w:kern w:val="21"/>
          <w:sz w:val="32"/>
          <w:szCs w:val="32"/>
          <w:u w:val="none" w:color="auto"/>
          <w:lang w:val="en-US" w:eastAsia="zh-CN" w:bidi="ar-SA"/>
          <w14:textFill>
            <w14:solidFill>
              <w14:schemeClr w14:val="tx1"/>
            </w14:solidFill>
          </w14:textFill>
        </w:rPr>
        <w:t>振兴。</w:t>
      </w:r>
      <w:r>
        <w:rPr>
          <w:rFonts w:hint="eastAsia" w:ascii="仿宋_GB2312" w:hAnsi="仿宋_GB2312" w:eastAsia="仿宋_GB2312" w:cs="仿宋_GB2312"/>
          <w:color w:val="000000" w:themeColor="text1"/>
          <w:kern w:val="21"/>
          <w:sz w:val="32"/>
          <w:szCs w:val="32"/>
          <w:u w:val="none" w:color="auto"/>
          <w:lang w:val="en-US" w:eastAsia="zh-CN" w:bidi="ar-SA"/>
          <w14:textFill>
            <w14:solidFill>
              <w14:schemeClr w14:val="tx1"/>
            </w14:solidFill>
          </w14:textFill>
        </w:rPr>
        <w:t>健全完善深化农村改革扎实推进乡村全面振兴</w:t>
      </w:r>
      <w:r>
        <w:rPr>
          <w:rFonts w:hint="default" w:ascii="仿宋_GB2312" w:hAnsi="仿宋_GB2312" w:eastAsia="仿宋_GB2312" w:cs="仿宋_GB2312"/>
          <w:color w:val="000000" w:themeColor="text1"/>
          <w:kern w:val="21"/>
          <w:sz w:val="32"/>
          <w:szCs w:val="32"/>
          <w:u w:val="none" w:color="auto"/>
          <w:lang w:val="en-US" w:eastAsia="zh-CN" w:bidi="ar-SA"/>
          <w14:textFill>
            <w14:solidFill>
              <w14:schemeClr w14:val="tx1"/>
            </w14:solidFill>
          </w14:textFill>
        </w:rPr>
        <w:t>“七</w:t>
      </w:r>
      <w:r>
        <w:rPr>
          <w:rFonts w:hint="eastAsia" w:ascii="仿宋_GB2312" w:hAnsi="仿宋_GB2312" w:eastAsia="仿宋_GB2312" w:cs="仿宋_GB2312"/>
          <w:color w:val="000000" w:themeColor="text1"/>
          <w:kern w:val="21"/>
          <w:sz w:val="32"/>
          <w:szCs w:val="32"/>
          <w:u w:val="none" w:color="auto"/>
          <w:lang w:val="en-US" w:eastAsia="zh-CN" w:bidi="ar-SA"/>
          <w14:textFill>
            <w14:solidFill>
              <w14:schemeClr w14:val="tx1"/>
            </w14:solidFill>
          </w14:textFill>
        </w:rPr>
        <w:t>项</w:t>
      </w:r>
      <w:r>
        <w:rPr>
          <w:rFonts w:hint="default" w:ascii="仿宋_GB2312" w:hAnsi="仿宋_GB2312" w:eastAsia="仿宋_GB2312" w:cs="仿宋_GB2312"/>
          <w:color w:val="000000" w:themeColor="text1"/>
          <w:kern w:val="21"/>
          <w:sz w:val="32"/>
          <w:szCs w:val="32"/>
          <w:u w:val="none" w:color="auto"/>
          <w:lang w:val="en-US" w:eastAsia="zh-CN" w:bidi="ar-SA"/>
          <w14:textFill>
            <w14:solidFill>
              <w14:schemeClr w14:val="tx1"/>
            </w14:solidFill>
          </w14:textFill>
        </w:rPr>
        <w:t>机制”</w:t>
      </w:r>
      <w:r>
        <w:rPr>
          <w:rFonts w:hint="eastAsia" w:ascii="仿宋_GB2312" w:hAnsi="仿宋_GB2312" w:eastAsia="仿宋_GB2312" w:cs="仿宋_GB2312"/>
          <w:color w:val="000000" w:themeColor="text1"/>
          <w:kern w:val="21"/>
          <w:sz w:val="32"/>
          <w:szCs w:val="32"/>
          <w:u w:val="none" w:color="auto"/>
          <w:lang w:val="en-US" w:eastAsia="zh-CN" w:bidi="ar-SA"/>
          <w14:textFill>
            <w14:solidFill>
              <w14:schemeClr w14:val="tx1"/>
            </w14:solidFill>
          </w14:textFill>
        </w:rPr>
        <w:t>，全面巩固拓展脱贫攻坚成果</w:t>
      </w:r>
      <w:r>
        <w:rPr>
          <w:rFonts w:hint="default" w:ascii="仿宋_GB2312" w:hAnsi="仿宋_GB2312" w:eastAsia="仿宋_GB2312" w:cs="仿宋_GB2312"/>
          <w:color w:val="000000" w:themeColor="text1"/>
          <w:kern w:val="21"/>
          <w:sz w:val="32"/>
          <w:szCs w:val="32"/>
          <w:u w:val="none" w:color="auto"/>
          <w:lang w:val="en-US" w:eastAsia="zh-CN" w:bidi="ar-SA"/>
          <w14:textFill>
            <w14:solidFill>
              <w14:schemeClr w14:val="tx1"/>
            </w14:solidFill>
          </w14:textFill>
        </w:rPr>
        <w:t>，强</w:t>
      </w:r>
      <w:r>
        <w:rPr>
          <w:rFonts w:hint="eastAsia" w:ascii="仿宋_GB2312" w:hAnsi="仿宋_GB2312" w:eastAsia="仿宋_GB2312" w:cs="仿宋_GB2312"/>
          <w:color w:val="000000" w:themeColor="text1"/>
          <w:kern w:val="21"/>
          <w:sz w:val="32"/>
          <w:szCs w:val="32"/>
          <w:u w:val="none" w:color="auto"/>
          <w:lang w:val="en-US" w:eastAsia="zh-CN" w:bidi="ar-SA"/>
          <w14:textFill>
            <w14:solidFill>
              <w14:schemeClr w14:val="tx1"/>
            </w14:solidFill>
          </w14:textFill>
        </w:rPr>
        <w:t>化</w:t>
      </w:r>
      <w:r>
        <w:rPr>
          <w:rFonts w:hint="default" w:ascii="仿宋_GB2312" w:hAnsi="仿宋_GB2312" w:eastAsia="仿宋_GB2312" w:cs="仿宋_GB2312"/>
          <w:color w:val="000000" w:themeColor="text1"/>
          <w:kern w:val="21"/>
          <w:sz w:val="32"/>
          <w:szCs w:val="32"/>
          <w:u w:val="none" w:color="auto"/>
          <w:lang w:val="en-US" w:eastAsia="zh-CN" w:bidi="ar-SA"/>
          <w14:textFill>
            <w14:solidFill>
              <w14:schemeClr w14:val="tx1"/>
            </w14:solidFill>
          </w14:textFill>
        </w:rPr>
        <w:t>防返贫动态监测和帮扶，</w:t>
      </w:r>
      <w:r>
        <w:rPr>
          <w:rFonts w:hint="eastAsia" w:ascii="仿宋_GB2312" w:hAnsi="仿宋_GB2312" w:eastAsia="仿宋_GB2312" w:cs="仿宋_GB2312"/>
          <w:color w:val="000000" w:themeColor="text1"/>
          <w:kern w:val="21"/>
          <w:sz w:val="32"/>
          <w:szCs w:val="32"/>
          <w:u w:val="none" w:color="auto"/>
          <w:lang w:val="en-US" w:eastAsia="zh-CN" w:bidi="ar-SA"/>
          <w14:textFill>
            <w14:solidFill>
              <w14:schemeClr w14:val="tx1"/>
            </w14:solidFill>
          </w14:textFill>
        </w:rPr>
        <w:t>坚决</w:t>
      </w:r>
      <w:r>
        <w:rPr>
          <w:rFonts w:hint="default" w:ascii="仿宋_GB2312" w:hAnsi="仿宋_GB2312" w:eastAsia="仿宋_GB2312" w:cs="仿宋_GB2312"/>
          <w:color w:val="000000" w:themeColor="text1"/>
          <w:kern w:val="21"/>
          <w:sz w:val="32"/>
          <w:szCs w:val="32"/>
          <w:u w:val="none" w:color="auto"/>
          <w:lang w:val="en-US" w:eastAsia="zh-CN" w:bidi="ar-SA"/>
          <w14:textFill>
            <w14:solidFill>
              <w14:schemeClr w14:val="tx1"/>
            </w14:solidFill>
          </w14:textFill>
        </w:rPr>
        <w:t>守住不发生规模性返贫底线。</w:t>
      </w:r>
      <w:r>
        <w:rPr>
          <w:rFonts w:hint="eastAsia" w:ascii="仿宋_GB2312" w:hAnsi="仿宋_GB2312" w:eastAsia="仿宋_GB2312" w:cs="仿宋_GB2312"/>
          <w:color w:val="000000" w:themeColor="text1"/>
          <w:kern w:val="21"/>
          <w:sz w:val="32"/>
          <w:szCs w:val="32"/>
          <w:u w:val="none" w:color="auto"/>
          <w:lang w:val="en-US" w:eastAsia="zh-CN" w:bidi="ar-SA"/>
          <w14:textFill>
            <w14:solidFill>
              <w14:schemeClr w14:val="tx1"/>
            </w14:solidFill>
          </w14:textFill>
        </w:rPr>
        <w:t>深入</w:t>
      </w:r>
      <w:r>
        <w:rPr>
          <w:rFonts w:hint="default" w:ascii="仿宋_GB2312" w:hAnsi="仿宋_GB2312" w:eastAsia="仿宋_GB2312" w:cs="仿宋_GB2312"/>
          <w:color w:val="000000" w:themeColor="text1"/>
          <w:kern w:val="21"/>
          <w:sz w:val="32"/>
          <w:szCs w:val="32"/>
          <w:u w:val="none" w:color="auto"/>
          <w:lang w:val="en-US" w:eastAsia="zh-CN" w:bidi="ar-SA"/>
          <w14:textFill>
            <w14:solidFill>
              <w14:schemeClr w14:val="tx1"/>
            </w14:solidFill>
          </w14:textFill>
        </w:rPr>
        <w:t>学习“千万工程”经验，科学推进乡村建设，</w:t>
      </w:r>
      <w:r>
        <w:rPr>
          <w:rFonts w:hint="eastAsia" w:ascii="仿宋_GB2312" w:hAnsi="仿宋_GB2312" w:eastAsia="仿宋_GB2312" w:cs="仿宋_GB2312"/>
          <w:color w:val="000000" w:themeColor="text1"/>
          <w:kern w:val="21"/>
          <w:sz w:val="32"/>
          <w:szCs w:val="32"/>
          <w:u w:val="none" w:color="auto"/>
          <w:lang w:val="en-US" w:eastAsia="zh-CN" w:bidi="ar-SA"/>
          <w14:textFill>
            <w14:solidFill>
              <w14:schemeClr w14:val="tx1"/>
            </w14:solidFill>
          </w14:textFill>
        </w:rPr>
        <w:t>建立健全自建房管理档案，统筹</w:t>
      </w:r>
      <w:r>
        <w:rPr>
          <w:rFonts w:hint="default" w:ascii="仿宋_GB2312" w:hAnsi="仿宋_GB2312" w:eastAsia="仿宋_GB2312" w:cs="仿宋_GB2312"/>
          <w:color w:val="000000" w:themeColor="text1"/>
          <w:kern w:val="21"/>
          <w:sz w:val="32"/>
          <w:szCs w:val="32"/>
          <w:u w:val="none" w:color="auto"/>
          <w:lang w:val="en-US" w:eastAsia="zh-CN" w:bidi="ar-SA"/>
          <w14:textFill>
            <w14:solidFill>
              <w14:schemeClr w14:val="tx1"/>
            </w14:solidFill>
          </w14:textFill>
        </w:rPr>
        <w:t>推进农村危房改造</w:t>
      </w:r>
      <w:r>
        <w:rPr>
          <w:rFonts w:hint="eastAsia" w:ascii="仿宋_GB2312" w:hAnsi="仿宋_GB2312" w:eastAsia="仿宋_GB2312" w:cs="仿宋_GB2312"/>
          <w:color w:val="000000" w:themeColor="text1"/>
          <w:kern w:val="21"/>
          <w:sz w:val="32"/>
          <w:szCs w:val="32"/>
          <w:u w:val="none" w:color="auto"/>
          <w:lang w:val="en-US" w:eastAsia="zh-CN" w:bidi="ar-SA"/>
          <w14:textFill>
            <w14:solidFill>
              <w14:schemeClr w14:val="tx1"/>
            </w14:solidFill>
          </w14:textFill>
        </w:rPr>
        <w:t>。实施同卡镇俄觉村、吉中乡新贡村、林卡乡略觉村3个宜居宜业高原和美乡村建设项目。</w:t>
      </w:r>
      <w:r>
        <w:rPr>
          <w:rFonts w:hint="default" w:ascii="仿宋_GB2312" w:hAnsi="仿宋_GB2312" w:eastAsia="仿宋_GB2312" w:cs="仿宋_GB2312"/>
          <w:color w:val="000000" w:themeColor="text1"/>
          <w:kern w:val="21"/>
          <w:sz w:val="32"/>
          <w:szCs w:val="32"/>
          <w:u w:val="none" w:color="auto"/>
          <w:lang w:val="en-US" w:eastAsia="zh-CN" w:bidi="ar-SA"/>
          <w14:textFill>
            <w14:solidFill>
              <w14:schemeClr w14:val="tx1"/>
            </w14:solidFill>
          </w14:textFill>
        </w:rPr>
        <w:t>深入实施城乡环境整治提升行动，</w:t>
      </w:r>
      <w:r>
        <w:rPr>
          <w:rFonts w:hint="eastAsia" w:ascii="仿宋_GB2312" w:hAnsi="仿宋_GB2312" w:eastAsia="仿宋_GB2312" w:cs="仿宋_GB2312"/>
          <w:color w:val="000000" w:themeColor="text1"/>
          <w:kern w:val="21"/>
          <w:sz w:val="32"/>
          <w:szCs w:val="32"/>
          <w:u w:val="none" w:color="auto"/>
          <w:lang w:val="en-US" w:eastAsia="zh-CN" w:bidi="ar-SA"/>
          <w14:textFill>
            <w14:solidFill>
              <w14:schemeClr w14:val="tx1"/>
            </w14:solidFill>
          </w14:textFill>
        </w:rPr>
        <w:t>大力推进户厕改造、人畜分离、国道318沿线人居环境整治工作，</w:t>
      </w:r>
      <w:r>
        <w:rPr>
          <w:rFonts w:hint="default" w:ascii="仿宋_GB2312" w:hAnsi="仿宋_GB2312" w:eastAsia="仿宋_GB2312" w:cs="仿宋_GB2312"/>
          <w:color w:val="000000" w:themeColor="text1"/>
          <w:kern w:val="21"/>
          <w:sz w:val="32"/>
          <w:szCs w:val="32"/>
          <w:u w:val="none" w:color="auto"/>
          <w:lang w:val="en-US" w:eastAsia="zh-CN" w:bidi="ar-SA"/>
          <w14:textFill>
            <w14:solidFill>
              <w14:schemeClr w14:val="tx1"/>
            </w14:solidFill>
          </w14:textFill>
        </w:rPr>
        <w:t>创新开展县直单位包保村（居）、社区活动</w:t>
      </w:r>
      <w:r>
        <w:rPr>
          <w:rFonts w:hint="eastAsia" w:ascii="仿宋_GB2312" w:hAnsi="仿宋_GB2312" w:eastAsia="仿宋_GB2312" w:cs="仿宋_GB2312"/>
          <w:color w:val="000000" w:themeColor="text1"/>
          <w:kern w:val="21"/>
          <w:sz w:val="32"/>
          <w:szCs w:val="32"/>
          <w:u w:val="none" w:color="auto"/>
          <w:lang w:val="en-US" w:eastAsia="zh-CN" w:bidi="ar-SA"/>
          <w14:textFill>
            <w14:solidFill>
              <w14:schemeClr w14:val="tx1"/>
            </w14:solidFill>
          </w14:textFill>
        </w:rPr>
        <w:t>，结合农牧民意愿，推进“客、寝、厨”分设试点。</w:t>
      </w:r>
      <w:r>
        <w:rPr>
          <w:rFonts w:hint="default" w:ascii="仿宋_GB2312" w:hAnsi="仿宋_GB2312" w:eastAsia="仿宋_GB2312" w:cs="仿宋_GB2312"/>
          <w:color w:val="000000" w:themeColor="text1"/>
          <w:kern w:val="21"/>
          <w:sz w:val="32"/>
          <w:szCs w:val="32"/>
          <w:u w:val="none" w:color="auto"/>
          <w:lang w:val="en-US" w:eastAsia="zh-CN" w:bidi="ar-SA"/>
          <w14:textFill>
            <w14:solidFill>
              <w14:schemeClr w14:val="tx1"/>
            </w14:solidFill>
          </w14:textFill>
        </w:rPr>
        <w:t>全面推进树立农牧民新风貌行动</w:t>
      </w:r>
      <w:r>
        <w:rPr>
          <w:rFonts w:hint="eastAsia" w:ascii="仿宋_GB2312" w:hAnsi="仿宋_GB2312" w:eastAsia="仿宋_GB2312" w:cs="仿宋_GB2312"/>
          <w:color w:val="000000" w:themeColor="text1"/>
          <w:kern w:val="21"/>
          <w:sz w:val="32"/>
          <w:szCs w:val="32"/>
          <w:u w:val="none" w:color="auto"/>
          <w:lang w:val="en-US" w:eastAsia="zh-CN" w:bidi="ar-SA"/>
          <w14:textFill>
            <w14:solidFill>
              <w14:schemeClr w14:val="tx1"/>
            </w14:solidFill>
          </w14:textFill>
        </w:rPr>
        <w:t>，推进农牧区移风易俗。加大易地搬迁安置点产业扶持力度。不断状大集体经济，</w:t>
      </w:r>
      <w:r>
        <w:rPr>
          <w:rFonts w:hint="default" w:ascii="仿宋_GB2312" w:hAnsi="仿宋_GB2312" w:eastAsia="仿宋_GB2312" w:cs="仿宋_GB2312"/>
          <w:color w:val="000000" w:themeColor="text1"/>
          <w:kern w:val="21"/>
          <w:sz w:val="32"/>
          <w:szCs w:val="32"/>
          <w:u w:val="none" w:color="auto"/>
          <w:lang w:val="en-US" w:eastAsia="zh-CN" w:bidi="ar-SA"/>
          <w14:textFill>
            <w14:solidFill>
              <w14:schemeClr w14:val="tx1"/>
            </w14:solidFill>
          </w14:textFill>
        </w:rPr>
        <w:t>力争全年新增农牧民合作社等农业新型合作组织4家以上。</w:t>
      </w:r>
    </w:p>
    <w:p w14:paraId="7C587B7A">
      <w:pPr>
        <w:keepNext w:val="0"/>
        <w:keepLines w:val="0"/>
        <w:pageBreakBefore w:val="0"/>
        <w:widowControl w:val="0"/>
        <w:numPr>
          <w:ilvl w:val="0"/>
          <w:numId w:val="0"/>
        </w:numPr>
        <w:pBdr>
          <w:bottom w:val="single" w:color="FFFFFF" w:sz="4" w:space="30"/>
        </w:pBdr>
        <w:tabs>
          <w:tab w:val="left" w:pos="1440"/>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_GB2312" w:hAnsi="楷体_GB2312" w:eastAsia="楷体_GB2312" w:cs="楷体_GB2312"/>
          <w:color w:val="000000" w:themeColor="text1"/>
          <w:kern w:val="21"/>
          <w:sz w:val="32"/>
          <w:szCs w:val="32"/>
          <w:u w:val="none" w:color="auto"/>
          <w:lang w:val="en-US" w:eastAsia="zh-CN" w:bidi="ar-SA"/>
          <w14:textFill>
            <w14:solidFill>
              <w14:schemeClr w14:val="tx1"/>
            </w14:solidFill>
          </w14:textFill>
        </w:rPr>
      </w:pPr>
      <w:r>
        <w:rPr>
          <w:rFonts w:hint="eastAsia" w:ascii="楷体_GB2312" w:hAnsi="楷体_GB2312" w:eastAsia="楷体_GB2312" w:cs="楷体_GB2312"/>
          <w:color w:val="000000" w:themeColor="text1"/>
          <w:kern w:val="21"/>
          <w:sz w:val="32"/>
          <w:szCs w:val="32"/>
          <w:u w:val="none" w:color="auto"/>
          <w:lang w:val="en-US" w:eastAsia="zh-CN" w:bidi="ar-SA"/>
          <w14:textFill>
            <w14:solidFill>
              <w14:schemeClr w14:val="tx1"/>
            </w14:solidFill>
          </w14:textFill>
        </w:rPr>
        <w:t>（五）聚力创新发展，坚定坚决持续深化改革开放</w:t>
      </w:r>
    </w:p>
    <w:p w14:paraId="56629396">
      <w:pPr>
        <w:keepNext w:val="0"/>
        <w:keepLines w:val="0"/>
        <w:pageBreakBefore w:val="0"/>
        <w:widowControl w:val="0"/>
        <w:numPr>
          <w:ilvl w:val="0"/>
          <w:numId w:val="0"/>
        </w:numPr>
        <w:pBdr>
          <w:bottom w:val="single" w:color="FFFFFF" w:sz="4" w:space="30"/>
        </w:pBdr>
        <w:tabs>
          <w:tab w:val="left" w:pos="1440"/>
        </w:tabs>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i w:val="0"/>
          <w:iCs w:val="0"/>
          <w:caps w:val="0"/>
          <w:color w:val="000000" w:themeColor="text1"/>
          <w:spacing w:val="0"/>
          <w:kern w:val="2"/>
          <w:sz w:val="32"/>
          <w:szCs w:val="32"/>
          <w:u w:val="none" w:color="auto"/>
          <w:shd w:val="clear" w:color="auto" w:fill="FFFFFF"/>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u w:val="none" w:color="auto"/>
          <w:lang w:val="en-US" w:eastAsia="zh-CN" w:bidi="ar-SA"/>
          <w14:textFill>
            <w14:solidFill>
              <w14:schemeClr w14:val="tx1"/>
            </w14:solidFill>
          </w14:textFill>
        </w:rPr>
        <w:t>全面深化改革赋能。</w:t>
      </w:r>
      <w:r>
        <w:rPr>
          <w:rFonts w:hint="eastAsia" w:ascii="仿宋_GB2312" w:hAnsi="仿宋_GB2312" w:eastAsia="仿宋_GB2312" w:cs="仿宋_GB2312"/>
          <w:color w:val="000000" w:themeColor="text1"/>
          <w:kern w:val="21"/>
          <w:sz w:val="32"/>
          <w:szCs w:val="32"/>
          <w:u w:val="none" w:color="auto"/>
          <w:lang w:val="en-US" w:eastAsia="zh-CN" w:bidi="ar-SA"/>
          <w14:textFill>
            <w14:solidFill>
              <w14:schemeClr w14:val="tx1"/>
            </w14:solidFill>
          </w14:textFill>
        </w:rPr>
        <w:t>深入推进经济体制、农业农村、国资国企、供销社等重点领域改革</w:t>
      </w:r>
      <w:r>
        <w:rPr>
          <w:rFonts w:hint="eastAsia" w:ascii="仿宋_GB2312" w:hAnsi="仿宋_GB2312" w:eastAsia="仿宋_GB2312" w:cs="仿宋_GB2312"/>
          <w:color w:val="000000" w:themeColor="text1"/>
          <w:kern w:val="2"/>
          <w:sz w:val="32"/>
          <w:szCs w:val="32"/>
          <w:u w:val="none" w:color="auto"/>
          <w:lang w:val="en-US" w:eastAsia="zh-CN" w:bidi="ar-SA"/>
          <w14:textFill>
            <w14:solidFill>
              <w14:schemeClr w14:val="tx1"/>
            </w14:solidFill>
          </w14:textFill>
        </w:rPr>
        <w:t>，全面梳理盘活国有资产，稳妥化解国资国企领域历史遗留问题，推动县投资公司市场化转型。深化“放管服”改革，加强“互联网+政务服务”建设，持续推进综窗改革、“一网通办”，优化“12345”企业群众诉求处理机制。</w:t>
      </w:r>
      <w:r>
        <w:rPr>
          <w:rFonts w:hint="eastAsia" w:ascii="仿宋_GB2312" w:hAnsi="仿宋_GB2312" w:eastAsia="仿宋_GB2312" w:cs="仿宋_GB2312"/>
          <w:i w:val="0"/>
          <w:iCs w:val="0"/>
          <w:caps w:val="0"/>
          <w:color w:val="000000" w:themeColor="text1"/>
          <w:spacing w:val="0"/>
          <w:kern w:val="2"/>
          <w:sz w:val="32"/>
          <w:szCs w:val="32"/>
          <w:u w:val="none" w:color="auto"/>
          <w:shd w:val="clear" w:color="auto" w:fill="FFFFFF"/>
          <w:lang w:val="en-US" w:eastAsia="zh-CN" w:bidi="ar-SA"/>
          <w14:textFill>
            <w14:solidFill>
              <w14:schemeClr w14:val="tx1"/>
            </w14:solidFill>
          </w14:textFill>
        </w:rPr>
        <w:t>坚持“两个毫不动摇”，扎实落实促进民营经济发展的法律法规和政策措施。落实</w:t>
      </w:r>
      <w:r>
        <w:rPr>
          <w:rFonts w:hint="eastAsia" w:ascii="仿宋_GB2312" w:hAnsi="仿宋_GB2312" w:eastAsia="仿宋_GB2312" w:cs="仿宋_GB2312"/>
          <w:color w:val="000000" w:themeColor="text1"/>
          <w:kern w:val="2"/>
          <w:sz w:val="32"/>
          <w:szCs w:val="32"/>
          <w:u w:val="none" w:color="auto"/>
          <w:lang w:val="en-US" w:eastAsia="zh-CN" w:bidi="ar-SA"/>
          <w14:textFill>
            <w14:solidFill>
              <w14:schemeClr w14:val="tx1"/>
            </w14:solidFill>
          </w14:textFill>
        </w:rPr>
        <w:t>投融资体制改革政策要求，帮助民营企业和小微企业解决融资问题。</w:t>
      </w:r>
      <w:r>
        <w:rPr>
          <w:rFonts w:hint="eastAsia" w:ascii="仿宋_GB2312" w:hAnsi="仿宋_GB2312" w:eastAsia="仿宋_GB2312" w:cs="仿宋_GB2312"/>
          <w:i w:val="0"/>
          <w:iCs w:val="0"/>
          <w:caps w:val="0"/>
          <w:color w:val="000000" w:themeColor="text1"/>
          <w:spacing w:val="0"/>
          <w:kern w:val="2"/>
          <w:sz w:val="32"/>
          <w:szCs w:val="32"/>
          <w:u w:val="none" w:color="auto"/>
          <w:shd w:val="clear" w:color="auto" w:fill="FFFFFF"/>
          <w:lang w:val="en-US" w:eastAsia="zh-CN" w:bidi="ar-SA"/>
          <w14:textFill>
            <w14:solidFill>
              <w14:schemeClr w14:val="tx1"/>
            </w14:solidFill>
          </w14:textFill>
        </w:rPr>
        <w:t>完善企业诉求响应和解决机制，聚焦市场主体关切的重点领域和关键环节，探索出台一批小切口、见效快、含金量高的改革举措。</w:t>
      </w:r>
    </w:p>
    <w:p w14:paraId="5CA9978C">
      <w:pPr>
        <w:keepNext w:val="0"/>
        <w:keepLines w:val="0"/>
        <w:pageBreakBefore w:val="0"/>
        <w:widowControl w:val="0"/>
        <w:numPr>
          <w:ilvl w:val="0"/>
          <w:numId w:val="0"/>
        </w:numPr>
        <w:pBdr>
          <w:bottom w:val="single" w:color="FFFFFF" w:sz="4" w:space="30"/>
        </w:pBdr>
        <w:tabs>
          <w:tab w:val="left" w:pos="1440"/>
        </w:tabs>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color w:val="000000" w:themeColor="text1"/>
          <w:kern w:val="21"/>
          <w:sz w:val="32"/>
          <w:szCs w:val="32"/>
          <w:u w:val="none" w:color="auto"/>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1"/>
          <w:sz w:val="32"/>
          <w:szCs w:val="32"/>
          <w:u w:val="none" w:color="auto"/>
          <w:lang w:val="en-US" w:eastAsia="zh-CN" w:bidi="ar-SA"/>
          <w14:textFill>
            <w14:solidFill>
              <w14:schemeClr w14:val="tx1"/>
            </w14:solidFill>
          </w14:textFill>
        </w:rPr>
        <w:t>全面提升对外开放水平。</w:t>
      </w:r>
      <w:r>
        <w:rPr>
          <w:rFonts w:hint="eastAsia" w:ascii="仿宋_GB2312" w:hAnsi="仿宋_GB2312" w:eastAsia="仿宋_GB2312" w:cs="仿宋_GB2312"/>
          <w:color w:val="000000" w:themeColor="text1"/>
          <w:kern w:val="2"/>
          <w:sz w:val="32"/>
          <w:szCs w:val="32"/>
          <w:u w:val="none" w:color="auto"/>
          <w:lang w:val="en-US" w:eastAsia="zh-CN" w:bidi="ar-SA"/>
          <w14:textFill>
            <w14:solidFill>
              <w14:schemeClr w14:val="tx1"/>
            </w14:solidFill>
          </w14:textFill>
        </w:rPr>
        <w:t>利用交通区位优势，发挥好向东融入的“桥头堡”作用，加强与周边地区的交流合作，</w:t>
      </w:r>
      <w:r>
        <w:rPr>
          <w:rFonts w:hint="eastAsia" w:ascii="仿宋_GB2312" w:hAnsi="仿宋_GB2312" w:eastAsia="仿宋_GB2312" w:cs="仿宋_GB2312"/>
          <w:color w:val="000000" w:themeColor="text1"/>
          <w:kern w:val="21"/>
          <w:sz w:val="32"/>
          <w:szCs w:val="32"/>
          <w:u w:val="none" w:color="auto"/>
          <w:lang w:val="en-US" w:eastAsia="zh-CN" w:bidi="ar-SA"/>
          <w14:textFill>
            <w14:solidFill>
              <w14:schemeClr w14:val="tx1"/>
            </w14:solidFill>
          </w14:textFill>
        </w:rPr>
        <w:t>积极融入周边经济圈、经济带</w:t>
      </w:r>
      <w:r>
        <w:rPr>
          <w:rFonts w:hint="eastAsia" w:ascii="仿宋_GB2312" w:hAnsi="仿宋_GB2312" w:eastAsia="仿宋_GB2312" w:cs="仿宋_GB2312"/>
          <w:i w:val="0"/>
          <w:iCs w:val="0"/>
          <w:caps w:val="0"/>
          <w:color w:val="000000" w:themeColor="text1"/>
          <w:spacing w:val="0"/>
          <w:kern w:val="2"/>
          <w:sz w:val="32"/>
          <w:szCs w:val="32"/>
          <w:u w:val="none" w:color="auto"/>
          <w:shd w:val="clear" w:color="auto" w:fill="FFFFFF"/>
          <w:lang w:val="en-US" w:eastAsia="zh-CN" w:bidi="ar-SA"/>
          <w14:textFill>
            <w14:solidFill>
              <w14:schemeClr w14:val="tx1"/>
            </w14:solidFill>
          </w14:textFill>
        </w:rPr>
        <w:t>。深化与西藏农牧学院的校地合作，加快构建以企业为主体、市场为导向、产学研深度融合的技术创新体系。聚焦五大产业主攻方向，大力开展上门招商、以商招商、专业招商，确保全年招商引资到位资金3.8亿元以上。探索优化民间投资保障机制，强化民间投资发展政策支持，鼓励和吸引更多民间资本参与重大项目、重点产业链建设，力争民间投资实现新突破。</w:t>
      </w:r>
    </w:p>
    <w:p w14:paraId="7671C194">
      <w:pPr>
        <w:keepNext w:val="0"/>
        <w:keepLines w:val="0"/>
        <w:pageBreakBefore w:val="0"/>
        <w:widowControl w:val="0"/>
        <w:numPr>
          <w:ilvl w:val="0"/>
          <w:numId w:val="0"/>
        </w:numPr>
        <w:pBdr>
          <w:bottom w:val="single" w:color="FFFFFF" w:sz="4" w:space="30"/>
        </w:pBdr>
        <w:tabs>
          <w:tab w:val="left" w:pos="1440"/>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_GB2312" w:hAnsi="楷体_GB2312" w:eastAsia="楷体_GB2312" w:cs="楷体_GB2312"/>
          <w:color w:val="000000" w:themeColor="text1"/>
          <w:kern w:val="21"/>
          <w:sz w:val="32"/>
          <w:szCs w:val="32"/>
          <w:u w:val="none" w:color="auto"/>
          <w:lang w:val="en-US" w:eastAsia="zh-CN" w:bidi="ar-SA"/>
          <w14:textFill>
            <w14:solidFill>
              <w14:schemeClr w14:val="tx1"/>
            </w14:solidFill>
          </w14:textFill>
        </w:rPr>
      </w:pPr>
      <w:r>
        <w:rPr>
          <w:rFonts w:hint="eastAsia" w:ascii="楷体_GB2312" w:hAnsi="楷体_GB2312" w:eastAsia="楷体_GB2312" w:cs="楷体_GB2312"/>
          <w:color w:val="000000" w:themeColor="text1"/>
          <w:kern w:val="21"/>
          <w:sz w:val="32"/>
          <w:szCs w:val="32"/>
          <w:u w:val="none" w:color="auto"/>
          <w:lang w:val="en-US" w:eastAsia="zh-CN" w:bidi="ar-SA"/>
          <w14:textFill>
            <w14:solidFill>
              <w14:schemeClr w14:val="tx1"/>
            </w14:solidFill>
          </w14:textFill>
        </w:rPr>
        <w:t>（六）聚力发展为民，坚定坚决不断增进民生福祉</w:t>
      </w:r>
    </w:p>
    <w:p w14:paraId="74ED359C">
      <w:pPr>
        <w:keepNext w:val="0"/>
        <w:keepLines w:val="0"/>
        <w:pageBreakBefore w:val="0"/>
        <w:widowControl w:val="0"/>
        <w:numPr>
          <w:ilvl w:val="0"/>
          <w:numId w:val="0"/>
        </w:numPr>
        <w:pBdr>
          <w:bottom w:val="single" w:color="FFFFFF" w:sz="4" w:space="30"/>
        </w:pBdr>
        <w:tabs>
          <w:tab w:val="left" w:pos="1440"/>
        </w:tabs>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default" w:ascii="仿宋_GB2312" w:hAnsi="仿宋_GB2312" w:eastAsia="仿宋_GB2312" w:cs="仿宋_GB2312"/>
          <w:color w:val="000000" w:themeColor="text1"/>
          <w:kern w:val="21"/>
          <w:sz w:val="32"/>
          <w:szCs w:val="32"/>
          <w:u w:val="none" w:color="auto"/>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1"/>
          <w:sz w:val="32"/>
          <w:szCs w:val="32"/>
          <w:u w:val="none" w:color="auto"/>
          <w:lang w:val="en-US" w:eastAsia="zh-CN" w:bidi="ar-SA"/>
          <w14:textFill>
            <w14:solidFill>
              <w14:schemeClr w14:val="tx1"/>
            </w14:solidFill>
          </w14:textFill>
        </w:rPr>
        <w:t>全力以赴推动就业增收。</w:t>
      </w:r>
      <w:r>
        <w:rPr>
          <w:rFonts w:hint="eastAsia" w:ascii="仿宋_GB2312" w:hAnsi="仿宋_GB2312" w:eastAsia="仿宋_GB2312" w:cs="仿宋_GB2312"/>
          <w:i w:val="0"/>
          <w:iCs w:val="0"/>
          <w:caps w:val="0"/>
          <w:color w:val="000000" w:themeColor="text1"/>
          <w:spacing w:val="0"/>
          <w:kern w:val="2"/>
          <w:sz w:val="32"/>
          <w:szCs w:val="32"/>
          <w:u w:val="none" w:color="auto"/>
          <w:shd w:val="clear" w:color="auto" w:fill="FFFFFF"/>
          <w:lang w:val="en-US" w:eastAsia="zh-CN" w:bidi="ar-SA"/>
          <w14:textFill>
            <w14:solidFill>
              <w14:schemeClr w14:val="tx1"/>
            </w14:solidFill>
          </w14:textFill>
        </w:rPr>
        <w:t>深入实施就业促增收提质行动，严格落实各项增收措施，</w:t>
      </w:r>
      <w:r>
        <w:rPr>
          <w:rFonts w:hint="eastAsia" w:ascii="仿宋_GB2312" w:hAnsi="仿宋_GB2312" w:eastAsia="仿宋_GB2312" w:cs="仿宋_GB2312"/>
          <w:color w:val="000000" w:themeColor="text1"/>
          <w:kern w:val="21"/>
          <w:sz w:val="32"/>
          <w:szCs w:val="32"/>
          <w:u w:val="none" w:color="auto"/>
          <w:lang w:val="en-US" w:eastAsia="zh-CN" w:bidi="ar-SA"/>
          <w14:textFill>
            <w14:solidFill>
              <w14:schemeClr w14:val="tx1"/>
            </w14:solidFill>
          </w14:textFill>
        </w:rPr>
        <w:t>提升就业</w:t>
      </w:r>
      <w:r>
        <w:rPr>
          <w:rFonts w:hint="eastAsia" w:ascii="仿宋_GB2312" w:hAnsi="宋体" w:eastAsia="仿宋_GB2312" w:cs="仿宋_GB2312"/>
          <w:color w:val="000000" w:themeColor="text1"/>
          <w:kern w:val="0"/>
          <w:sz w:val="32"/>
          <w:szCs w:val="32"/>
          <w:u w:val="none" w:color="auto"/>
          <w:lang w:val="en-US" w:eastAsia="zh-CN" w:bidi="ar"/>
          <w14:textFill>
            <w14:solidFill>
              <w14:schemeClr w14:val="tx1"/>
            </w14:solidFill>
          </w14:textFill>
        </w:rPr>
        <w:t>创业服务指导水平，拓展</w:t>
      </w:r>
      <w:r>
        <w:rPr>
          <w:rFonts w:hint="eastAsia" w:ascii="仿宋_GB2312" w:hAnsi="仿宋_GB2312" w:eastAsia="仿宋_GB2312" w:cs="仿宋_GB2312"/>
          <w:color w:val="000000" w:themeColor="text1"/>
          <w:kern w:val="21"/>
          <w:sz w:val="32"/>
          <w:szCs w:val="32"/>
          <w:u w:val="none" w:color="auto"/>
          <w:lang w:val="en-US" w:eastAsia="zh-CN" w:bidi="ar-SA"/>
          <w14:textFill>
            <w14:solidFill>
              <w14:schemeClr w14:val="tx1"/>
            </w14:solidFill>
          </w14:textFill>
        </w:rPr>
        <w:t>实用技能培训范围，组织好“小组团式”区外就业，加大高校毕业生、退役军人、就业困难人员等重点群体就业创业支持力度。全年新开发就业岗位600个以上，农牧区劳动力转移就业1万人以上、增收1亿元以上，城镇零就业家庭实现动态清零。应届高校毕业生整体就业率95%以上，区外就业率12%以上。精细开展增收统计，加大整治欠薪力度，健全重大项目建设联农带农增收机制。</w:t>
      </w:r>
    </w:p>
    <w:p w14:paraId="4DF017F4">
      <w:pPr>
        <w:keepNext w:val="0"/>
        <w:keepLines w:val="0"/>
        <w:pageBreakBefore w:val="0"/>
        <w:widowControl w:val="0"/>
        <w:numPr>
          <w:ilvl w:val="0"/>
          <w:numId w:val="0"/>
        </w:numPr>
        <w:pBdr>
          <w:bottom w:val="single" w:color="FFFFFF" w:sz="4" w:space="30"/>
        </w:pBdr>
        <w:tabs>
          <w:tab w:val="left" w:pos="1440"/>
        </w:tabs>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eastAsia" w:ascii="仿宋_GB2312" w:hAnsi="仿宋_GB2312" w:eastAsia="仿宋_GB2312" w:cs="仿宋_GB2312"/>
          <w:color w:val="000000" w:themeColor="text1"/>
          <w:kern w:val="21"/>
          <w:sz w:val="32"/>
          <w:szCs w:val="32"/>
          <w:u w:val="none" w:color="auto"/>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1"/>
          <w:sz w:val="32"/>
          <w:szCs w:val="32"/>
          <w:u w:val="none" w:color="auto"/>
          <w:lang w:val="en-US" w:eastAsia="zh-CN" w:bidi="ar-SA"/>
          <w14:textFill>
            <w14:solidFill>
              <w14:schemeClr w14:val="tx1"/>
            </w14:solidFill>
          </w14:textFill>
        </w:rPr>
        <w:t>全力以赴提升教育教学质量。</w:t>
      </w:r>
      <w:r>
        <w:rPr>
          <w:rFonts w:hint="eastAsia" w:ascii="仿宋_GB2312" w:hAnsi="仿宋_GB2312" w:eastAsia="仿宋_GB2312" w:cs="仿宋_GB2312"/>
          <w:color w:val="000000" w:themeColor="text1"/>
          <w:kern w:val="21"/>
          <w:sz w:val="32"/>
          <w:szCs w:val="32"/>
          <w:u w:val="none" w:color="auto"/>
          <w:lang w:val="en-US" w:eastAsia="zh-CN" w:bidi="ar-SA"/>
          <w14:textFill>
            <w14:solidFill>
              <w14:schemeClr w14:val="tx1"/>
            </w14:solidFill>
          </w14:textFill>
        </w:rPr>
        <w:t>落实立德树人根本任务，完善师德师风建设机制，坚持“五育”并举，统筹推进中小学思政课一体化建设。深入实施教育提质年专项行动，加强教育人才梯队建设，用好“组团式”教育援藏人才，继续实施县城学校优秀教师到高海拔乡镇学校交流轮岗制度。加大县财政对教育的投入力度，加快推进教育数字化和智慧校园建设，推动义务教育优质均衡发展。统筹校园安全，关爱师生心理健康，规范“三包”经费管理使用，依法落实“控辍保学”，确保适龄儿童少年100%入学。</w:t>
      </w:r>
    </w:p>
    <w:p w14:paraId="3A945794">
      <w:pPr>
        <w:keepNext w:val="0"/>
        <w:keepLines w:val="0"/>
        <w:pageBreakBefore w:val="0"/>
        <w:widowControl w:val="0"/>
        <w:numPr>
          <w:ilvl w:val="0"/>
          <w:numId w:val="0"/>
        </w:numPr>
        <w:pBdr>
          <w:bottom w:val="single" w:color="FFFFFF" w:sz="4" w:space="30"/>
        </w:pBdr>
        <w:tabs>
          <w:tab w:val="left" w:pos="1440"/>
        </w:tabs>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color w:val="000000" w:themeColor="text1"/>
          <w:kern w:val="21"/>
          <w:sz w:val="32"/>
          <w:szCs w:val="32"/>
          <w:u w:val="none" w:color="auto"/>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1"/>
          <w:sz w:val="32"/>
          <w:szCs w:val="32"/>
          <w:u w:val="none" w:color="auto"/>
          <w:lang w:val="en-US" w:eastAsia="zh-CN" w:bidi="ar-SA"/>
          <w14:textFill>
            <w14:solidFill>
              <w14:schemeClr w14:val="tx1"/>
            </w14:solidFill>
          </w14:textFill>
        </w:rPr>
        <w:t>全力以赴提升医疗卫生水平。</w:t>
      </w:r>
      <w:r>
        <w:rPr>
          <w:rFonts w:hint="eastAsia" w:ascii="仿宋_GB2312" w:hAnsi="仿宋_GB2312" w:eastAsia="仿宋_GB2312" w:cs="仿宋_GB2312"/>
          <w:color w:val="000000" w:themeColor="text1"/>
          <w:kern w:val="21"/>
          <w:sz w:val="32"/>
          <w:szCs w:val="32"/>
          <w:u w:val="none" w:color="auto"/>
          <w:lang w:val="en-US" w:eastAsia="zh-CN" w:bidi="ar-SA"/>
          <w14:textFill>
            <w14:solidFill>
              <w14:schemeClr w14:val="tx1"/>
            </w14:solidFill>
          </w14:textFill>
        </w:rPr>
        <w:t>深入实施医疗卫生提质专项行动，落实“五个针对”要求，探索推行县人民医院院长“聘用制”，启动胸痛、创伤、危重孕产妇救治三大急诊急救中心建设。深入实施医疗卫生强基工程，促进优质医疗资源扩容下沉，推动乡镇卫生院标准化建设，加强景区、学校医疗服务体系建设。深度推进“医养结合”，不断满足群众健康服务需求。用好“组团式”医疗援藏人才，实施医疗卫生队伍梯队培养计划，开展无资格医护人员清零行动</w:t>
      </w:r>
      <w:r>
        <w:rPr>
          <w:rFonts w:hint="eastAsia" w:ascii="仿宋_GB2312" w:hAnsi="仿宋_GB2312" w:eastAsia="仿宋_GB2312" w:cs="仿宋_GB2312"/>
          <w:b w:val="0"/>
          <w:bCs w:val="0"/>
          <w:color w:val="000000" w:themeColor="text1"/>
          <w:kern w:val="21"/>
          <w:sz w:val="32"/>
          <w:szCs w:val="32"/>
          <w:u w:val="none" w:color="auto"/>
          <w:lang w:val="en-US" w:eastAsia="zh-CN" w:bidi="ar-SA"/>
          <w14:textFill>
            <w14:solidFill>
              <w14:schemeClr w14:val="tx1"/>
            </w14:solidFill>
          </w14:textFill>
        </w:rPr>
        <w:t>。建立健全城乡居民电子健康档案，落实基层公共卫生服务，推动城乡居民暨在编僧尼体检、0-6岁儿童免疫规划疫苗接种全覆盖。</w:t>
      </w:r>
      <w:r>
        <w:rPr>
          <w:rFonts w:hint="eastAsia" w:ascii="仿宋_GB2312" w:hAnsi="仿宋_GB2312" w:eastAsia="仿宋_GB2312" w:cs="仿宋_GB2312"/>
          <w:color w:val="000000" w:themeColor="text1"/>
          <w:kern w:val="21"/>
          <w:sz w:val="32"/>
          <w:szCs w:val="32"/>
          <w:u w:val="none" w:color="auto"/>
          <w:lang w:val="en-US" w:eastAsia="zh-CN" w:bidi="ar-SA"/>
          <w14:textFill>
            <w14:solidFill>
              <w14:schemeClr w14:val="tx1"/>
            </w14:solidFill>
          </w14:textFill>
        </w:rPr>
        <w:t>深化公立医院改革，加强城乡一体化联动，确保每个乡镇卫生院至少有1名中心医院初级以上职称人员常年服务。</w:t>
      </w:r>
    </w:p>
    <w:p w14:paraId="0AAFA4DE">
      <w:pPr>
        <w:keepNext w:val="0"/>
        <w:keepLines w:val="0"/>
        <w:pageBreakBefore w:val="0"/>
        <w:widowControl w:val="0"/>
        <w:numPr>
          <w:ilvl w:val="0"/>
          <w:numId w:val="0"/>
        </w:numPr>
        <w:pBdr>
          <w:bottom w:val="single" w:color="FFFFFF" w:sz="4" w:space="30"/>
        </w:pBdr>
        <w:tabs>
          <w:tab w:val="left" w:pos="1440"/>
        </w:tabs>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default" w:ascii="仿宋_GB2312" w:hAnsi="仿宋_GB2312" w:eastAsia="仿宋_GB2312" w:cs="仿宋_GB2312"/>
          <w:color w:val="000000" w:themeColor="text1"/>
          <w:kern w:val="21"/>
          <w:sz w:val="32"/>
          <w:szCs w:val="32"/>
          <w:u w:val="none" w:color="auto"/>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1"/>
          <w:sz w:val="32"/>
          <w:szCs w:val="32"/>
          <w:u w:val="none" w:color="auto"/>
          <w:lang w:val="en-US" w:eastAsia="zh-CN" w:bidi="ar-SA"/>
          <w14:textFill>
            <w14:solidFill>
              <w14:schemeClr w14:val="tx1"/>
            </w14:solidFill>
          </w14:textFill>
        </w:rPr>
        <w:t>全力以赴提质社会保障和服务。</w:t>
      </w:r>
      <w:r>
        <w:rPr>
          <w:rFonts w:hint="eastAsia" w:ascii="仿宋_GB2312" w:hAnsi="仿宋_GB2312" w:eastAsia="仿宋_GB2312" w:cs="仿宋_GB2312"/>
          <w:color w:val="000000" w:themeColor="text1"/>
          <w:kern w:val="21"/>
          <w:sz w:val="32"/>
          <w:szCs w:val="32"/>
          <w:u w:val="none" w:color="auto"/>
          <w:lang w:val="en-US" w:eastAsia="zh-CN" w:bidi="ar-SA"/>
          <w14:textFill>
            <w14:solidFill>
              <w14:schemeClr w14:val="tx1"/>
            </w14:solidFill>
          </w14:textFill>
        </w:rPr>
        <w:t>全面落实各项保障政策，进一步完善社会救助和福利体系建设。积极开展社会保险政策宣传解读，持续扩大社会保险、医疗保险征缴覆盖面，确保基本养老保险、城乡居民基本医疗保险参保率保持在95%以上。紧盯“一老一小”，加大对留守儿童、孤寡老人、残疾人等特殊群体以及搬迁至日喀则地震受灾八宿籍群众的关爱帮扶救助力度。加强低收入人员动态监测和常态化救助帮扶，推进“物质+服务”社会救助，保障困难群众的基本生活。</w:t>
      </w:r>
    </w:p>
    <w:p w14:paraId="2D316356">
      <w:pPr>
        <w:keepNext w:val="0"/>
        <w:keepLines w:val="0"/>
        <w:pageBreakBefore w:val="0"/>
        <w:widowControl w:val="0"/>
        <w:numPr>
          <w:ilvl w:val="0"/>
          <w:numId w:val="0"/>
        </w:numPr>
        <w:pBdr>
          <w:bottom w:val="single" w:color="FFFFFF" w:sz="4" w:space="30"/>
        </w:pBdr>
        <w:tabs>
          <w:tab w:val="left" w:pos="1440"/>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_GB2312" w:hAnsi="楷体_GB2312" w:eastAsia="楷体_GB2312" w:cs="楷体_GB2312"/>
          <w:color w:val="000000" w:themeColor="text1"/>
          <w:kern w:val="21"/>
          <w:sz w:val="32"/>
          <w:szCs w:val="32"/>
          <w:u w:val="none" w:color="auto"/>
          <w:lang w:val="en-US" w:eastAsia="zh-CN" w:bidi="ar-SA"/>
          <w14:textFill>
            <w14:solidFill>
              <w14:schemeClr w14:val="tx1"/>
            </w14:solidFill>
          </w14:textFill>
        </w:rPr>
      </w:pPr>
      <w:r>
        <w:rPr>
          <w:rFonts w:hint="eastAsia" w:ascii="楷体_GB2312" w:hAnsi="楷体_GB2312" w:eastAsia="楷体_GB2312" w:cs="楷体_GB2312"/>
          <w:color w:val="000000" w:themeColor="text1"/>
          <w:kern w:val="21"/>
          <w:sz w:val="32"/>
          <w:szCs w:val="32"/>
          <w:u w:val="none" w:color="auto"/>
          <w:lang w:val="en-US" w:eastAsia="zh-CN" w:bidi="ar-SA"/>
          <w14:textFill>
            <w14:solidFill>
              <w14:schemeClr w14:val="tx1"/>
            </w14:solidFill>
          </w14:textFill>
        </w:rPr>
        <w:t>（七）聚力生态保护，坚定坚决守护绿水青山</w:t>
      </w:r>
    </w:p>
    <w:p w14:paraId="3D667BAB">
      <w:pPr>
        <w:keepNext w:val="0"/>
        <w:keepLines w:val="0"/>
        <w:pageBreakBefore w:val="0"/>
        <w:widowControl w:val="0"/>
        <w:numPr>
          <w:ilvl w:val="0"/>
          <w:numId w:val="0"/>
        </w:numPr>
        <w:pBdr>
          <w:bottom w:val="single" w:color="FFFFFF" w:sz="4" w:space="30"/>
        </w:pBdr>
        <w:tabs>
          <w:tab w:val="left" w:pos="1440"/>
        </w:tabs>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color w:val="000000" w:themeColor="text1"/>
          <w:kern w:val="21"/>
          <w:sz w:val="32"/>
          <w:szCs w:val="32"/>
          <w:u w:val="none" w:color="auto"/>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1"/>
          <w:sz w:val="32"/>
          <w:szCs w:val="32"/>
          <w:u w:val="none" w:color="auto"/>
          <w:lang w:val="en-US" w:eastAsia="zh-CN" w:bidi="ar-SA"/>
          <w14:textFill>
            <w14:solidFill>
              <w14:schemeClr w14:val="tx1"/>
            </w14:solidFill>
          </w14:textFill>
        </w:rPr>
        <w:t>扎实筑牢生态屏障。</w:t>
      </w:r>
      <w:r>
        <w:rPr>
          <w:rFonts w:hint="eastAsia" w:ascii="仿宋_GB2312" w:hAnsi="仿宋_GB2312" w:eastAsia="仿宋_GB2312" w:cs="仿宋_GB2312"/>
          <w:color w:val="000000" w:themeColor="text1"/>
          <w:kern w:val="21"/>
          <w:sz w:val="32"/>
          <w:szCs w:val="32"/>
          <w:u w:val="none" w:color="auto"/>
          <w:lang w:val="en-US" w:eastAsia="zh-CN" w:bidi="ar-SA"/>
          <w14:textFill>
            <w14:solidFill>
              <w14:schemeClr w14:val="tx1"/>
            </w14:solidFill>
          </w14:textFill>
        </w:rPr>
        <w:t>大力实施国土绿化，鼓励引导“四荒”绿化、“四旁”植树，全年实施绿化造林3000亩以上。推动污水处理设施升级改造，加强农村污水治理，积极推进怒江流域、冷曲河流域综合治理等生态工程建设。加快推进弄利措水库灌区工程，严格落实农药化肥“零增长”工程，全面落实河（湖）长制、林长制，持续深入打好蓝天、碧水、净土保卫战。</w:t>
      </w:r>
    </w:p>
    <w:p w14:paraId="0851760F">
      <w:pPr>
        <w:keepNext w:val="0"/>
        <w:keepLines w:val="0"/>
        <w:pageBreakBefore w:val="0"/>
        <w:widowControl w:val="0"/>
        <w:numPr>
          <w:ilvl w:val="0"/>
          <w:numId w:val="0"/>
        </w:numPr>
        <w:pBdr>
          <w:bottom w:val="single" w:color="FFFFFF" w:sz="4" w:space="30"/>
        </w:pBdr>
        <w:tabs>
          <w:tab w:val="left" w:pos="1440"/>
        </w:tabs>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eastAsia" w:ascii="仿宋_GB2312" w:hAnsi="仿宋_GB2312" w:eastAsia="仿宋_GB2312" w:cs="仿宋_GB2312"/>
          <w:color w:val="000000" w:themeColor="text1"/>
          <w:kern w:val="21"/>
          <w:sz w:val="32"/>
          <w:szCs w:val="32"/>
          <w:u w:val="none" w:color="auto"/>
          <w:lang w:val="en-US" w:eastAsia="zh-CN" w:bidi="ar-SA"/>
          <w14:textFill>
            <w14:solidFill>
              <w14:schemeClr w14:val="tx1"/>
            </w14:solidFill>
          </w14:textFill>
        </w:rPr>
      </w:pPr>
      <w:r>
        <w:rPr>
          <w:rFonts w:hint="eastAsia" w:ascii="仿宋_GB2312" w:hAnsi="仿宋_GB2312" w:eastAsia="仿宋_GB2312" w:cs="仿宋_GB2312"/>
          <w:b/>
          <w:bCs/>
          <w:color w:val="000000" w:themeColor="text1"/>
          <w:sz w:val="32"/>
          <w:szCs w:val="40"/>
          <w:u w:val="none" w:color="auto"/>
          <w:lang w:val="en-US" w:eastAsia="zh-CN"/>
          <w14:textFill>
            <w14:solidFill>
              <w14:schemeClr w14:val="tx1"/>
            </w14:solidFill>
          </w14:textFill>
        </w:rPr>
        <w:t>依法</w:t>
      </w:r>
      <w:r>
        <w:rPr>
          <w:rFonts w:hint="eastAsia" w:ascii="仿宋_GB2312" w:hAnsi="仿宋_GB2312" w:eastAsia="仿宋_GB2312" w:cs="仿宋_GB2312"/>
          <w:b/>
          <w:bCs/>
          <w:color w:val="000000" w:themeColor="text1"/>
          <w:sz w:val="32"/>
          <w:szCs w:val="40"/>
          <w:u w:val="none" w:color="auto"/>
          <w14:textFill>
            <w14:solidFill>
              <w14:schemeClr w14:val="tx1"/>
            </w14:solidFill>
          </w14:textFill>
        </w:rPr>
        <w:t>强化</w:t>
      </w:r>
      <w:r>
        <w:rPr>
          <w:rFonts w:hint="eastAsia" w:ascii="仿宋_GB2312" w:hAnsi="仿宋_GB2312" w:eastAsia="仿宋_GB2312" w:cs="仿宋_GB2312"/>
          <w:b/>
          <w:bCs/>
          <w:color w:val="000000" w:themeColor="text1"/>
          <w:sz w:val="32"/>
          <w:szCs w:val="40"/>
          <w:u w:val="none" w:color="auto"/>
          <w:lang w:val="en-US" w:eastAsia="zh-CN"/>
          <w14:textFill>
            <w14:solidFill>
              <w14:schemeClr w14:val="tx1"/>
            </w14:solidFill>
          </w14:textFill>
        </w:rPr>
        <w:t>监督</w:t>
      </w:r>
      <w:r>
        <w:rPr>
          <w:rFonts w:hint="eastAsia" w:ascii="仿宋_GB2312" w:hAnsi="仿宋_GB2312" w:eastAsia="仿宋_GB2312" w:cs="仿宋_GB2312"/>
          <w:b/>
          <w:bCs/>
          <w:color w:val="000000" w:themeColor="text1"/>
          <w:sz w:val="32"/>
          <w:szCs w:val="40"/>
          <w:u w:val="none" w:color="auto"/>
          <w14:textFill>
            <w14:solidFill>
              <w14:schemeClr w14:val="tx1"/>
            </w14:solidFill>
          </w14:textFill>
        </w:rPr>
        <w:t>监管。</w:t>
      </w:r>
      <w:r>
        <w:rPr>
          <w:rFonts w:hint="eastAsia" w:ascii="仿宋_GB2312" w:hAnsi="仿宋_GB2312" w:eastAsia="仿宋_GB2312" w:cs="仿宋_GB2312"/>
          <w:b w:val="0"/>
          <w:bCs w:val="0"/>
          <w:color w:val="000000" w:themeColor="text1"/>
          <w:sz w:val="32"/>
          <w:szCs w:val="40"/>
          <w:u w:val="none" w:color="auto"/>
          <w14:textFill>
            <w14:solidFill>
              <w14:schemeClr w14:val="tx1"/>
            </w14:solidFill>
          </w14:textFill>
        </w:rPr>
        <w:t>实施生态环境破坏责任终身追究制，严格项目环评审查制度，严禁“三高”企业、项目落地八宿</w:t>
      </w:r>
      <w:r>
        <w:rPr>
          <w:rFonts w:hint="eastAsia" w:ascii="仿宋_GB2312" w:hAnsi="仿宋_GB2312" w:eastAsia="仿宋_GB2312" w:cs="仿宋_GB2312"/>
          <w:b w:val="0"/>
          <w:bCs w:val="0"/>
          <w:color w:val="000000" w:themeColor="text1"/>
          <w:sz w:val="32"/>
          <w:szCs w:val="40"/>
          <w:u w:val="none" w:color="auto"/>
          <w:lang w:eastAsia="zh-CN"/>
          <w14:textFill>
            <w14:solidFill>
              <w14:schemeClr w14:val="tx1"/>
            </w14:solidFill>
          </w14:textFill>
        </w:rPr>
        <w:t>，</w:t>
      </w:r>
      <w:r>
        <w:rPr>
          <w:rFonts w:hint="eastAsia" w:ascii="仿宋_GB2312" w:hAnsi="仿宋_GB2312" w:eastAsia="仿宋_GB2312" w:cs="仿宋_GB2312"/>
          <w:color w:val="000000" w:themeColor="text1"/>
          <w:kern w:val="21"/>
          <w:sz w:val="32"/>
          <w:szCs w:val="32"/>
          <w:u w:val="none" w:color="auto"/>
          <w:lang w:val="en-US" w:eastAsia="zh-CN" w:bidi="ar-SA"/>
          <w14:textFill>
            <w14:solidFill>
              <w14:schemeClr w14:val="tx1"/>
            </w14:solidFill>
          </w14:textFill>
        </w:rPr>
        <w:t>全力做好中央、自治区生态环境保护督察反馈以及</w:t>
      </w:r>
      <w:r>
        <w:rPr>
          <w:rFonts w:hint="eastAsia" w:ascii="仿宋_GB2312" w:hAnsi="仿宋_GB2312" w:eastAsia="仿宋_GB2312" w:cs="仿宋_GB2312"/>
          <w:b w:val="0"/>
          <w:bCs w:val="0"/>
          <w:color w:val="000000" w:themeColor="text1"/>
          <w:sz w:val="32"/>
          <w:szCs w:val="40"/>
          <w:u w:val="none" w:color="auto"/>
          <w:lang w:val="en-US" w:eastAsia="zh-CN"/>
          <w14:textFill>
            <w14:solidFill>
              <w14:schemeClr w14:val="tx1"/>
            </w14:solidFill>
          </w14:textFill>
        </w:rPr>
        <w:t>图斑问题整改</w:t>
      </w:r>
      <w:r>
        <w:rPr>
          <w:rFonts w:hint="eastAsia" w:ascii="仿宋_GB2312" w:hAnsi="仿宋_GB2312" w:eastAsia="仿宋_GB2312" w:cs="仿宋_GB2312"/>
          <w:b w:val="0"/>
          <w:bCs w:val="0"/>
          <w:color w:val="000000" w:themeColor="text1"/>
          <w:sz w:val="32"/>
          <w:szCs w:val="40"/>
          <w:u w:val="none" w:color="auto"/>
          <w14:textFill>
            <w14:solidFill>
              <w14:schemeClr w14:val="tx1"/>
            </w14:solidFill>
          </w14:textFill>
        </w:rPr>
        <w:t>。</w:t>
      </w:r>
      <w:r>
        <w:rPr>
          <w:rFonts w:hint="eastAsia" w:ascii="仿宋_GB2312" w:hAnsi="仿宋_GB2312" w:eastAsia="仿宋_GB2312" w:cs="仿宋_GB2312"/>
          <w:b w:val="0"/>
          <w:bCs w:val="0"/>
          <w:color w:val="000000" w:themeColor="text1"/>
          <w:sz w:val="32"/>
          <w:szCs w:val="40"/>
          <w:u w:val="none" w:color="auto"/>
          <w:lang w:eastAsia="zh-CN"/>
          <w14:textFill>
            <w14:solidFill>
              <w14:schemeClr w14:val="tx1"/>
            </w14:solidFill>
          </w14:textFill>
        </w:rPr>
        <w:t>严格</w:t>
      </w:r>
      <w:r>
        <w:rPr>
          <w:rFonts w:hint="eastAsia" w:ascii="仿宋_GB2312" w:hAnsi="仿宋_GB2312" w:eastAsia="仿宋_GB2312" w:cs="仿宋_GB2312"/>
          <w:b w:val="0"/>
          <w:bCs w:val="0"/>
          <w:color w:val="000000" w:themeColor="text1"/>
          <w:sz w:val="32"/>
          <w:szCs w:val="40"/>
          <w:u w:val="none" w:color="auto"/>
          <w:lang w:val="en-US" w:eastAsia="zh-CN"/>
          <w14:textFill>
            <w14:solidFill>
              <w14:schemeClr w14:val="tx1"/>
            </w14:solidFill>
          </w14:textFill>
        </w:rPr>
        <w:t>督促王牌花岗岩厂推进生态修复。</w:t>
      </w:r>
      <w:r>
        <w:rPr>
          <w:rFonts w:hint="eastAsia" w:ascii="仿宋_GB2312" w:hAnsi="仿宋_GB2312" w:eastAsia="仿宋_GB2312" w:cs="仿宋_GB2312"/>
          <w:color w:val="000000" w:themeColor="text1"/>
          <w:kern w:val="21"/>
          <w:sz w:val="32"/>
          <w:szCs w:val="32"/>
          <w:u w:val="none" w:color="auto"/>
          <w:lang w:val="en-US" w:eastAsia="zh-CN" w:bidi="ar-SA"/>
          <w14:textFill>
            <w14:solidFill>
              <w14:schemeClr w14:val="tx1"/>
            </w14:solidFill>
          </w14:textFill>
        </w:rPr>
        <w:t>严厉打击生态环境破坏行为，全面启用八宿海螺水泥窑窖协同处理生活垃圾资源综合设施</w:t>
      </w:r>
      <w:r>
        <w:rPr>
          <w:rFonts w:hint="eastAsia" w:ascii="仿宋_GB2312" w:hAnsi="仿宋_GB2312" w:eastAsia="仿宋_GB2312" w:cs="仿宋_GB2312"/>
          <w:color w:val="000000" w:themeColor="text1"/>
          <w:sz w:val="32"/>
          <w:szCs w:val="32"/>
          <w:u w:val="none" w:color="auto"/>
          <w:lang w:val="en-US" w:eastAsia="zh-CN"/>
          <w14:textFill>
            <w14:solidFill>
              <w14:schemeClr w14:val="tx1"/>
            </w14:solidFill>
          </w14:textFill>
        </w:rPr>
        <w:t>，</w:t>
      </w:r>
      <w:r>
        <w:rPr>
          <w:rFonts w:hint="eastAsia" w:ascii="仿宋_GB2312" w:hAnsi="仿宋_GB2312" w:eastAsia="仿宋_GB2312" w:cs="仿宋_GB2312"/>
          <w:color w:val="000000" w:themeColor="text1"/>
          <w:kern w:val="21"/>
          <w:sz w:val="32"/>
          <w:szCs w:val="32"/>
          <w:u w:val="none" w:color="auto"/>
          <w:lang w:val="en-US" w:eastAsia="zh-CN" w:bidi="ar-SA"/>
          <w14:textFill>
            <w14:solidFill>
              <w14:schemeClr w14:val="tx1"/>
            </w14:solidFill>
          </w14:textFill>
        </w:rPr>
        <w:t>在全市率先争创“无废城市”。</w:t>
      </w:r>
    </w:p>
    <w:p w14:paraId="67F45EA2">
      <w:pPr>
        <w:keepNext w:val="0"/>
        <w:keepLines w:val="0"/>
        <w:pageBreakBefore w:val="0"/>
        <w:widowControl w:val="0"/>
        <w:numPr>
          <w:ilvl w:val="0"/>
          <w:numId w:val="0"/>
        </w:numPr>
        <w:pBdr>
          <w:bottom w:val="single" w:color="FFFFFF" w:sz="4" w:space="30"/>
        </w:pBdr>
        <w:tabs>
          <w:tab w:val="left" w:pos="1440"/>
        </w:tabs>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eastAsia" w:ascii="仿宋_GB2312" w:hAnsi="仿宋_GB2312" w:eastAsia="仿宋_GB2312" w:cs="仿宋_GB2312"/>
          <w:color w:val="000000" w:themeColor="text1"/>
          <w:kern w:val="21"/>
          <w:sz w:val="32"/>
          <w:szCs w:val="32"/>
          <w:u w:val="none" w:color="auto"/>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1"/>
          <w:sz w:val="32"/>
          <w:szCs w:val="32"/>
          <w:u w:val="none" w:color="auto"/>
          <w:lang w:val="en-US" w:eastAsia="zh-CN" w:bidi="ar-SA"/>
          <w14:textFill>
            <w14:solidFill>
              <w14:schemeClr w14:val="tx1"/>
            </w14:solidFill>
          </w14:textFill>
        </w:rPr>
        <w:t>坚持生态富民惠民。</w:t>
      </w:r>
      <w:r>
        <w:rPr>
          <w:rFonts w:hint="eastAsia" w:ascii="仿宋_GB2312" w:hAnsi="仿宋_GB2312" w:eastAsia="仿宋_GB2312" w:cs="仿宋_GB2312"/>
          <w:b w:val="0"/>
          <w:bCs w:val="0"/>
          <w:color w:val="000000" w:themeColor="text1"/>
          <w:sz w:val="32"/>
          <w:szCs w:val="40"/>
          <w:u w:val="none" w:color="auto"/>
          <w:lang w:val="en-US" w:eastAsia="zh-CN"/>
          <w14:textFill>
            <w14:solidFill>
              <w14:schemeClr w14:val="tx1"/>
            </w14:solidFill>
          </w14:textFill>
        </w:rPr>
        <w:t>严格落实各项生态惠民政策，大力</w:t>
      </w:r>
      <w:r>
        <w:rPr>
          <w:rFonts w:hint="eastAsia" w:ascii="仿宋_GB2312" w:hAnsi="仿宋_GB2312" w:eastAsia="仿宋_GB2312" w:cs="仿宋_GB2312"/>
          <w:color w:val="000000" w:themeColor="text1"/>
          <w:kern w:val="21"/>
          <w:sz w:val="32"/>
          <w:szCs w:val="32"/>
          <w:u w:val="none" w:color="auto"/>
          <w:lang w:val="en-US" w:eastAsia="zh-CN" w:bidi="ar-SA"/>
          <w14:textFill>
            <w14:solidFill>
              <w14:schemeClr w14:val="tx1"/>
            </w14:solidFill>
          </w14:textFill>
        </w:rPr>
        <w:t>发展生态农业、经济林果、生态旅游、生态康养等绿色产业，积极探索生态产品价值转换路径，让“绿水青山”成为富民强县的“金山银山”，力争将然乌镇打造成为“两山”理论实践创新基地。</w:t>
      </w:r>
    </w:p>
    <w:p w14:paraId="6E73FF5E">
      <w:pPr>
        <w:keepNext w:val="0"/>
        <w:keepLines w:val="0"/>
        <w:pageBreakBefore w:val="0"/>
        <w:widowControl w:val="0"/>
        <w:numPr>
          <w:ilvl w:val="0"/>
          <w:numId w:val="0"/>
        </w:numPr>
        <w:pBdr>
          <w:bottom w:val="single" w:color="FFFFFF" w:sz="4" w:space="30"/>
        </w:pBdr>
        <w:tabs>
          <w:tab w:val="left" w:pos="1440"/>
        </w:tabs>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eastAsia" w:ascii="仿宋_GB2312" w:hAnsi="仿宋_GB2312" w:eastAsia="仿宋_GB2312" w:cs="仿宋_GB2312"/>
          <w:color w:val="000000" w:themeColor="text1"/>
          <w:sz w:val="32"/>
          <w:szCs w:val="32"/>
          <w:u w:val="none" w:color="auto"/>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u w:val="none" w:color="auto"/>
          <w:lang w:val="en-US" w:eastAsia="zh-CN"/>
          <w14:textFill>
            <w14:solidFill>
              <w14:schemeClr w14:val="tx1"/>
            </w14:solidFill>
          </w14:textFill>
        </w:rPr>
        <w:t>各位代表！</w:t>
      </w:r>
      <w:r>
        <w:rPr>
          <w:rFonts w:hint="eastAsia" w:ascii="仿宋_GB2312" w:hAnsi="仿宋_GB2312" w:eastAsia="仿宋_GB2312" w:cs="仿宋_GB2312"/>
          <w:color w:val="000000" w:themeColor="text1"/>
          <w:kern w:val="0"/>
          <w:sz w:val="32"/>
          <w:szCs w:val="32"/>
          <w:u w:val="none" w:color="auto"/>
          <w:lang w:val="en-US" w:eastAsia="zh-CN" w:bidi="ar"/>
          <w14:textFill>
            <w14:solidFill>
              <w14:schemeClr w14:val="tx1"/>
            </w14:solidFill>
          </w14:textFill>
        </w:rPr>
        <w:t>新形势、新任务对政府工作提出了新的更高要求。</w:t>
      </w:r>
      <w:r>
        <w:rPr>
          <w:rFonts w:hint="eastAsia" w:ascii="仿宋_GB2312" w:hAnsi="仿宋_GB2312" w:eastAsia="仿宋_GB2312" w:cs="仿宋_GB2312"/>
          <w:color w:val="000000" w:themeColor="text1"/>
          <w:sz w:val="32"/>
          <w:szCs w:val="32"/>
          <w:highlight w:val="none"/>
          <w:u w:val="none" w:color="auto"/>
          <w:lang w:val="en-US" w:eastAsia="zh-CN"/>
          <w14:textFill>
            <w14:solidFill>
              <w14:schemeClr w14:val="tx1"/>
            </w14:solidFill>
          </w14:textFill>
        </w:rPr>
        <w:t>我们将坚持把党的领导贯穿政府工作各方面全过程，树立树牢正确政绩观，把为民造福作为最重要的政绩，努力建设人民满意的法治政府、创新政府、廉洁政府和服务型政府，全面履行好政府职责。</w:t>
      </w:r>
    </w:p>
    <w:p w14:paraId="7BB70510">
      <w:pPr>
        <w:keepNext w:val="0"/>
        <w:keepLines w:val="0"/>
        <w:pageBreakBefore w:val="0"/>
        <w:widowControl w:val="0"/>
        <w:numPr>
          <w:ilvl w:val="0"/>
          <w:numId w:val="0"/>
        </w:numPr>
        <w:pBdr>
          <w:bottom w:val="single" w:color="FFFFFF" w:sz="4" w:space="30"/>
        </w:pBdr>
        <w:tabs>
          <w:tab w:val="left" w:pos="1440"/>
        </w:tabs>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eastAsia" w:ascii="仿宋_GB2312" w:hAnsi="仿宋_GB2312" w:eastAsia="仿宋_GB2312" w:cs="仿宋_GB2312"/>
          <w:color w:val="000000" w:themeColor="text1"/>
          <w:kern w:val="2"/>
          <w:sz w:val="32"/>
          <w:szCs w:val="32"/>
          <w:u w:val="none" w:color="auto"/>
          <w:lang w:val="en-US" w:eastAsia="zh-CN" w:bidi="ar-SA"/>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u w:val="none" w:color="auto"/>
          <w:lang w:val="en-US" w:eastAsia="zh-CN"/>
          <w14:textFill>
            <w14:solidFill>
              <w14:schemeClr w14:val="tx1"/>
            </w14:solidFill>
          </w14:textFill>
        </w:rPr>
        <w:t>我们将对标对表正确干，</w:t>
      </w:r>
      <w:r>
        <w:rPr>
          <w:rFonts w:hint="eastAsia" w:ascii="仿宋_GB2312" w:hAnsi="仿宋_GB2312" w:eastAsia="仿宋_GB2312" w:cs="仿宋_GB2312"/>
          <w:color w:val="000000" w:themeColor="text1"/>
          <w:sz w:val="32"/>
          <w:szCs w:val="32"/>
          <w:highlight w:val="none"/>
          <w:u w:val="none" w:color="auto"/>
          <w:lang w:val="en-US" w:eastAsia="zh-CN"/>
          <w14:textFill>
            <w14:solidFill>
              <w14:schemeClr w14:val="tx1"/>
            </w14:solidFill>
          </w14:textFill>
        </w:rPr>
        <w:t>坚持用习近平新时代中国特色社会主义思想凝心铸魂，深刻领悟“两个确立”的决定性意义，坚决做到“两个维护”，主动对标对表党中央和自治区党委、市委、县委重大决策部署，健全任务分解、清单管理、定期调度、督办通报、对账销号工作机制，确保抓落实的方向不偏、力度不减。</w:t>
      </w:r>
    </w:p>
    <w:p w14:paraId="1F6B7FAC">
      <w:pPr>
        <w:keepNext w:val="0"/>
        <w:keepLines w:val="0"/>
        <w:pageBreakBefore w:val="0"/>
        <w:widowControl w:val="0"/>
        <w:numPr>
          <w:ilvl w:val="0"/>
          <w:numId w:val="0"/>
        </w:numPr>
        <w:pBdr>
          <w:bottom w:val="single" w:color="FFFFFF" w:sz="4" w:space="30"/>
        </w:pBdr>
        <w:tabs>
          <w:tab w:val="left" w:pos="1440"/>
        </w:tabs>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eastAsia" w:ascii="仿宋_GB2312" w:hAnsi="仿宋_GB2312" w:eastAsia="仿宋_GB2312" w:cs="仿宋_GB2312"/>
          <w:color w:val="000000" w:themeColor="text1"/>
          <w:sz w:val="32"/>
          <w:szCs w:val="32"/>
          <w:highlight w:val="none"/>
          <w:u w:val="none" w:color="auto"/>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u w:val="none" w:color="auto"/>
          <w:lang w:val="en-US" w:eastAsia="zh-CN"/>
          <w14:textFill>
            <w14:solidFill>
              <w14:schemeClr w14:val="tx1"/>
            </w14:solidFill>
          </w14:textFill>
        </w:rPr>
        <w:t>我们将扑下身子务实干，</w:t>
      </w:r>
      <w:r>
        <w:rPr>
          <w:rFonts w:hint="eastAsia" w:ascii="仿宋_GB2312" w:hAnsi="仿宋_GB2312" w:eastAsia="仿宋_GB2312" w:cs="仿宋_GB2312"/>
          <w:color w:val="000000" w:themeColor="text1"/>
          <w:sz w:val="32"/>
          <w:szCs w:val="32"/>
          <w:highlight w:val="none"/>
          <w:u w:val="none" w:color="auto"/>
          <w:lang w:val="en-US" w:eastAsia="zh-CN"/>
          <w14:textFill>
            <w14:solidFill>
              <w14:schemeClr w14:val="tx1"/>
            </w14:solidFill>
          </w14:textFill>
        </w:rPr>
        <w:t>坚持践行“四下基层”，转换角色、走进群众，问计于民、问需于民，把情况摸清、把问题找准、把对策提实，真正把民生实事办实、办细、办好、办到群众心坎上。深入开展高效“干成一件事”活动，持续为基层减负，切实将干部从文山会海、过度留痕等负担中解脱出来，腾出更多时间办实事、抓落实。</w:t>
      </w:r>
    </w:p>
    <w:p w14:paraId="097E0411">
      <w:pPr>
        <w:keepNext w:val="0"/>
        <w:keepLines w:val="0"/>
        <w:pageBreakBefore w:val="0"/>
        <w:widowControl w:val="0"/>
        <w:numPr>
          <w:ilvl w:val="0"/>
          <w:numId w:val="0"/>
        </w:numPr>
        <w:pBdr>
          <w:bottom w:val="single" w:color="FFFFFF" w:sz="4" w:space="30"/>
        </w:pBdr>
        <w:tabs>
          <w:tab w:val="left" w:pos="1440"/>
        </w:tabs>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eastAsia" w:ascii="仿宋_GB2312" w:hAnsi="仿宋_GB2312" w:eastAsia="仿宋_GB2312" w:cs="仿宋_GB2312"/>
          <w:color w:val="000000" w:themeColor="text1"/>
          <w:sz w:val="32"/>
          <w:szCs w:val="32"/>
          <w:highlight w:val="none"/>
          <w:u w:val="none" w:color="auto"/>
          <w14:textFill>
            <w14:solidFill>
              <w14:schemeClr w14:val="tx1"/>
            </w14:solidFill>
          </w14:textFill>
        </w:rPr>
      </w:pPr>
      <w:r>
        <w:rPr>
          <w:rFonts w:hint="eastAsia" w:ascii="仿宋_GB2312" w:hAnsi="仿宋_GB2312" w:eastAsia="仿宋_GB2312" w:cs="仿宋_GB2312"/>
          <w:b/>
          <w:bCs/>
          <w:color w:val="000000" w:themeColor="text1"/>
          <w:kern w:val="2"/>
          <w:sz w:val="32"/>
          <w:szCs w:val="32"/>
          <w:highlight w:val="none"/>
          <w:u w:val="none" w:color="auto"/>
          <w:lang w:val="en-US" w:eastAsia="zh-CN" w:bidi="ar-SA"/>
          <w14:textFill>
            <w14:solidFill>
              <w14:schemeClr w14:val="tx1"/>
            </w14:solidFill>
          </w14:textFill>
        </w:rPr>
        <w:t>我们将迈开步子创新干，</w:t>
      </w:r>
      <w:r>
        <w:rPr>
          <w:rFonts w:hint="eastAsia" w:ascii="仿宋_GB2312" w:hAnsi="仿宋_GB2312" w:eastAsia="仿宋_GB2312" w:cs="仿宋_GB2312"/>
          <w:color w:val="000000" w:themeColor="text1"/>
          <w:sz w:val="32"/>
          <w:szCs w:val="32"/>
          <w:highlight w:val="none"/>
          <w:u w:val="none" w:color="auto"/>
          <w:lang w:val="en-US" w:eastAsia="zh-CN"/>
          <w14:textFill>
            <w14:solidFill>
              <w14:schemeClr w14:val="tx1"/>
            </w14:solidFill>
          </w14:textFill>
        </w:rPr>
        <w:t>破旧立新、改革创新、推陈出新，</w:t>
      </w:r>
      <w:r>
        <w:rPr>
          <w:rFonts w:hint="eastAsia" w:ascii="仿宋_GB2312" w:hAnsi="仿宋_GB2312" w:eastAsia="仿宋_GB2312" w:cs="仿宋_GB2312"/>
          <w:color w:val="000000" w:themeColor="text1"/>
          <w:sz w:val="32"/>
          <w:szCs w:val="32"/>
          <w:highlight w:val="none"/>
          <w:u w:val="none" w:color="auto"/>
          <w14:textFill>
            <w14:solidFill>
              <w14:schemeClr w14:val="tx1"/>
            </w14:solidFill>
          </w14:textFill>
        </w:rPr>
        <w:t>深入研究</w:t>
      </w:r>
      <w:r>
        <w:rPr>
          <w:rFonts w:hint="eastAsia" w:ascii="仿宋_GB2312" w:hAnsi="仿宋_GB2312" w:eastAsia="仿宋_GB2312" w:cs="仿宋_GB2312"/>
          <w:color w:val="000000" w:themeColor="text1"/>
          <w:sz w:val="32"/>
          <w:szCs w:val="32"/>
          <w:highlight w:val="none"/>
          <w:u w:val="none" w:color="auto"/>
          <w:lang w:eastAsia="zh-CN"/>
          <w14:textFill>
            <w14:solidFill>
              <w14:schemeClr w14:val="tx1"/>
            </w14:solidFill>
          </w14:textFill>
        </w:rPr>
        <w:t>中央、自治区、昌都市</w:t>
      </w:r>
      <w:r>
        <w:rPr>
          <w:rFonts w:hint="eastAsia" w:ascii="仿宋_GB2312" w:hAnsi="仿宋_GB2312" w:eastAsia="仿宋_GB2312" w:cs="仿宋_GB2312"/>
          <w:color w:val="000000" w:themeColor="text1"/>
          <w:sz w:val="32"/>
          <w:szCs w:val="32"/>
          <w:highlight w:val="none"/>
          <w:u w:val="none" w:color="auto"/>
          <w14:textFill>
            <w14:solidFill>
              <w14:schemeClr w14:val="tx1"/>
            </w14:solidFill>
          </w14:textFill>
        </w:rPr>
        <w:t>重大战略、重大部署和重要政策，广泛学习借鉴</w:t>
      </w:r>
      <w:r>
        <w:rPr>
          <w:rFonts w:hint="eastAsia" w:ascii="仿宋_GB2312" w:hAnsi="仿宋_GB2312" w:eastAsia="仿宋_GB2312" w:cs="仿宋_GB2312"/>
          <w:color w:val="000000" w:themeColor="text1"/>
          <w:sz w:val="32"/>
          <w:szCs w:val="32"/>
          <w:highlight w:val="none"/>
          <w:u w:val="none" w:color="auto"/>
          <w:lang w:eastAsia="zh-CN"/>
          <w14:textFill>
            <w14:solidFill>
              <w14:schemeClr w14:val="tx1"/>
            </w14:solidFill>
          </w14:textFill>
        </w:rPr>
        <w:t>其他地区</w:t>
      </w:r>
      <w:r>
        <w:rPr>
          <w:rFonts w:hint="eastAsia" w:ascii="仿宋_GB2312" w:hAnsi="仿宋_GB2312" w:eastAsia="仿宋_GB2312" w:cs="仿宋_GB2312"/>
          <w:color w:val="000000" w:themeColor="text1"/>
          <w:sz w:val="32"/>
          <w:szCs w:val="32"/>
          <w:highlight w:val="none"/>
          <w:u w:val="none" w:color="auto"/>
          <w14:textFill>
            <w14:solidFill>
              <w14:schemeClr w14:val="tx1"/>
            </w14:solidFill>
          </w14:textFill>
        </w:rPr>
        <w:t>先进理念，</w:t>
      </w:r>
      <w:r>
        <w:rPr>
          <w:rFonts w:hint="eastAsia" w:ascii="仿宋_GB2312" w:hAnsi="仿宋_GB2312" w:eastAsia="仿宋_GB2312" w:cs="仿宋_GB2312"/>
          <w:color w:val="000000" w:themeColor="text1"/>
          <w:sz w:val="32"/>
          <w:szCs w:val="32"/>
          <w:highlight w:val="none"/>
          <w:u w:val="none" w:color="auto"/>
          <w:lang w:val="en-US" w:eastAsia="zh-CN"/>
          <w14:textFill>
            <w14:solidFill>
              <w14:schemeClr w14:val="tx1"/>
            </w14:solidFill>
          </w14:textFill>
        </w:rPr>
        <w:t>因地制宜推改革、抓创新，</w:t>
      </w:r>
      <w:r>
        <w:rPr>
          <w:rFonts w:hint="eastAsia" w:ascii="仿宋_GB2312" w:hAnsi="仿宋_GB2312" w:eastAsia="仿宋_GB2312" w:cs="仿宋_GB2312"/>
          <w:color w:val="000000" w:themeColor="text1"/>
          <w:sz w:val="32"/>
          <w:szCs w:val="32"/>
          <w:highlight w:val="none"/>
          <w:u w:val="none" w:color="auto"/>
          <w14:textFill>
            <w14:solidFill>
              <w14:schemeClr w14:val="tx1"/>
            </w14:solidFill>
          </w14:textFill>
        </w:rPr>
        <w:t>不断提升</w:t>
      </w:r>
      <w:r>
        <w:rPr>
          <w:rFonts w:hint="eastAsia" w:ascii="仿宋_GB2312" w:hAnsi="仿宋_GB2312" w:eastAsia="仿宋_GB2312" w:cs="仿宋_GB2312"/>
          <w:color w:val="000000" w:themeColor="text1"/>
          <w:sz w:val="32"/>
          <w:szCs w:val="32"/>
          <w:highlight w:val="none"/>
          <w:u w:val="none" w:color="auto"/>
          <w:lang w:eastAsia="zh-CN"/>
          <w14:textFill>
            <w14:solidFill>
              <w14:schemeClr w14:val="tx1"/>
            </w14:solidFill>
          </w14:textFill>
        </w:rPr>
        <w:t>保稳定、强经济、抓生态、固边防</w:t>
      </w:r>
      <w:r>
        <w:rPr>
          <w:rFonts w:hint="eastAsia" w:ascii="仿宋_GB2312" w:hAnsi="仿宋_GB2312" w:eastAsia="仿宋_GB2312" w:cs="仿宋_GB2312"/>
          <w:color w:val="000000" w:themeColor="text1"/>
          <w:sz w:val="32"/>
          <w:szCs w:val="32"/>
          <w:highlight w:val="none"/>
          <w:u w:val="none" w:color="auto"/>
          <w14:textFill>
            <w14:solidFill>
              <w14:schemeClr w14:val="tx1"/>
            </w14:solidFill>
          </w14:textFill>
        </w:rPr>
        <w:t>的能力。</w:t>
      </w:r>
      <w:r>
        <w:rPr>
          <w:rFonts w:hint="eastAsia" w:ascii="仿宋_GB2312" w:hAnsi="仿宋_GB2312" w:eastAsia="仿宋_GB2312" w:cs="仿宋_GB2312"/>
          <w:color w:val="000000" w:themeColor="text1"/>
          <w:sz w:val="32"/>
          <w:szCs w:val="32"/>
          <w:highlight w:val="none"/>
          <w:u w:val="none" w:color="auto"/>
          <w:lang w:val="en-US" w:eastAsia="zh-CN"/>
          <w14:textFill>
            <w14:solidFill>
              <w14:schemeClr w14:val="tx1"/>
            </w14:solidFill>
          </w14:textFill>
        </w:rPr>
        <w:t>坚持重点工作县级领导包保推进，深入</w:t>
      </w:r>
      <w:r>
        <w:rPr>
          <w:rFonts w:hint="eastAsia" w:ascii="仿宋_GB2312" w:hAnsi="仿宋_GB2312" w:eastAsia="仿宋_GB2312" w:cs="仿宋_GB2312"/>
          <w:color w:val="000000" w:themeColor="text1"/>
          <w:sz w:val="32"/>
          <w:szCs w:val="32"/>
          <w:highlight w:val="none"/>
          <w:u w:val="none" w:color="auto"/>
          <w14:textFill>
            <w14:solidFill>
              <w14:schemeClr w14:val="tx1"/>
            </w14:solidFill>
          </w14:textFill>
        </w:rPr>
        <w:t>实施基层党建提升行动，不断强化村级党组织、驻村工作队、基层网格员政治功能和组织功能，</w:t>
      </w:r>
      <w:r>
        <w:rPr>
          <w:rFonts w:hint="eastAsia" w:ascii="仿宋_GB2312" w:hAnsi="仿宋_GB2312" w:eastAsia="仿宋_GB2312" w:cs="仿宋_GB2312"/>
          <w:color w:val="000000" w:themeColor="text1"/>
          <w:sz w:val="32"/>
          <w:szCs w:val="32"/>
          <w:highlight w:val="none"/>
          <w:u w:val="none" w:color="auto"/>
          <w:lang w:val="en-US" w:eastAsia="zh-CN"/>
          <w14:textFill>
            <w14:solidFill>
              <w14:schemeClr w14:val="tx1"/>
            </w14:solidFill>
          </w14:textFill>
        </w:rPr>
        <w:t>广泛</w:t>
      </w:r>
      <w:r>
        <w:rPr>
          <w:rFonts w:hint="eastAsia" w:ascii="仿宋_GB2312" w:hAnsi="仿宋_GB2312" w:eastAsia="仿宋_GB2312" w:cs="仿宋_GB2312"/>
          <w:color w:val="000000" w:themeColor="text1"/>
          <w:sz w:val="32"/>
          <w:szCs w:val="32"/>
          <w:highlight w:val="none"/>
          <w:u w:val="none" w:color="auto"/>
          <w14:textFill>
            <w14:solidFill>
              <w14:schemeClr w14:val="tx1"/>
            </w14:solidFill>
          </w14:textFill>
        </w:rPr>
        <w:t>发动群众参与产业发展、乡村建设和社会治理等重点工作。</w:t>
      </w:r>
    </w:p>
    <w:p w14:paraId="5A678496">
      <w:pPr>
        <w:keepNext w:val="0"/>
        <w:keepLines w:val="0"/>
        <w:pageBreakBefore w:val="0"/>
        <w:widowControl w:val="0"/>
        <w:numPr>
          <w:ilvl w:val="0"/>
          <w:numId w:val="0"/>
        </w:numPr>
        <w:pBdr>
          <w:bottom w:val="single" w:color="FFFFFF" w:sz="4" w:space="30"/>
        </w:pBdr>
        <w:tabs>
          <w:tab w:val="left" w:pos="1440"/>
        </w:tabs>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eastAsia" w:ascii="仿宋_GB2312" w:hAnsi="仿宋_GB2312" w:eastAsia="仿宋_GB2312" w:cs="仿宋_GB2312"/>
          <w:color w:val="000000" w:themeColor="text1"/>
          <w:sz w:val="32"/>
          <w:szCs w:val="32"/>
          <w:highlight w:val="none"/>
          <w:u w:val="none" w:color="auto"/>
          <w:lang w:val="en-US" w:eastAsia="zh-CN"/>
          <w14:textFill>
            <w14:solidFill>
              <w14:schemeClr w14:val="tx1"/>
            </w14:solidFill>
          </w14:textFill>
        </w:rPr>
      </w:pPr>
      <w:r>
        <w:rPr>
          <w:rFonts w:hint="eastAsia" w:ascii="仿宋_GB2312" w:hAnsi="仿宋_GB2312" w:eastAsia="仿宋_GB2312" w:cs="仿宋_GB2312"/>
          <w:b/>
          <w:bCs/>
          <w:color w:val="000000" w:themeColor="text1"/>
          <w:kern w:val="2"/>
          <w:sz w:val="32"/>
          <w:szCs w:val="32"/>
          <w:highlight w:val="none"/>
          <w:u w:val="none" w:color="auto"/>
          <w:lang w:val="en-US" w:eastAsia="zh-CN" w:bidi="ar-SA"/>
          <w14:textFill>
            <w14:solidFill>
              <w14:schemeClr w14:val="tx1"/>
            </w14:solidFill>
          </w14:textFill>
        </w:rPr>
        <w:t>我们将心存敬畏努力干，</w:t>
      </w:r>
      <w:r>
        <w:rPr>
          <w:rFonts w:hint="eastAsia" w:ascii="仿宋_GB2312" w:hAnsi="仿宋_GB2312" w:eastAsia="仿宋_GB2312" w:cs="仿宋_GB2312"/>
          <w:color w:val="000000" w:themeColor="text1"/>
          <w:sz w:val="32"/>
          <w:szCs w:val="32"/>
          <w:highlight w:val="none"/>
          <w:u w:val="none" w:color="auto"/>
          <w:lang w:val="en-US" w:eastAsia="zh-CN"/>
          <w14:textFill>
            <w14:solidFill>
              <w14:schemeClr w14:val="tx1"/>
            </w14:solidFill>
          </w14:textFill>
        </w:rPr>
        <w:t>坚持风腐同查同治，纵深推进全面从严治党和党风廉政建设，自觉接受人大法律监督、政协民主监督和群众、社会舆论等各方面监督，持续巩固党纪学习教育成果，扎实开展深入贯彻中央八项规定精神学习教育，深刻汲取身边违纪违法案例教训，常态开展廉政警示教育，深化标本兼治、系统施治，坚持公正用权、依法用权、为民用权、廉洁用权。</w:t>
      </w:r>
    </w:p>
    <w:p w14:paraId="7534FEDF">
      <w:pPr>
        <w:keepNext w:val="0"/>
        <w:keepLines w:val="0"/>
        <w:pageBreakBefore w:val="0"/>
        <w:widowControl w:val="0"/>
        <w:numPr>
          <w:ilvl w:val="0"/>
          <w:numId w:val="0"/>
        </w:numPr>
        <w:pBdr>
          <w:bottom w:val="single" w:color="FFFFFF" w:sz="4" w:space="30"/>
        </w:pBdr>
        <w:tabs>
          <w:tab w:val="left" w:pos="1440"/>
        </w:tabs>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eastAsia" w:ascii="仿宋_GB2312" w:hAnsi="仿宋_GB2312" w:eastAsia="仿宋_GB2312" w:cs="仿宋_GB2312"/>
          <w:color w:val="000000" w:themeColor="text1"/>
          <w:sz w:val="32"/>
          <w:szCs w:val="32"/>
          <w:highlight w:val="none"/>
          <w:u w:val="none" w:color="auto"/>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u w:val="none" w:color="auto"/>
          <w:lang w:val="en-US" w:eastAsia="zh-CN"/>
          <w14:textFill>
            <w14:solidFill>
              <w14:schemeClr w14:val="tx1"/>
            </w14:solidFill>
          </w14:textFill>
        </w:rPr>
        <w:t>各位代表！</w:t>
      </w:r>
      <w:r>
        <w:rPr>
          <w:rFonts w:hint="eastAsia" w:ascii="仿宋_GB2312" w:hAnsi="仿宋_GB2312" w:eastAsia="仿宋_GB2312" w:cs="仿宋_GB2312"/>
          <w:color w:val="000000" w:themeColor="text1"/>
          <w:sz w:val="32"/>
          <w:szCs w:val="32"/>
          <w:highlight w:val="none"/>
          <w:u w:val="none" w:color="auto"/>
          <w:lang w:val="en-US" w:eastAsia="zh-CN"/>
          <w14:textFill>
            <w14:solidFill>
              <w14:schemeClr w14:val="tx1"/>
            </w14:solidFill>
          </w14:textFill>
        </w:rPr>
        <w:t>使命呼唤担当，实干成就未来。让我们更加紧密地团结在以习近平同志为核心的党中央周围，在自治区党委政府、市委市政府以及县委的坚强领导下，锚定工作目标，凝聚奋进合力，矢志担当作为，努力建设藏东区域长治久安和高质量发展先行县，以优异成绩向自治区成立60周年，昌都解放75周年献礼！</w:t>
      </w:r>
    </w:p>
    <w:p w14:paraId="58D5A401">
      <w:pPr>
        <w:rPr>
          <w:color w:val="000000" w:themeColor="text1"/>
          <w:u w:val="none" w:color="auto"/>
          <w14:textFill>
            <w14:solidFill>
              <w14:schemeClr w14:val="tx1"/>
            </w14:solidFill>
          </w14:textFill>
        </w:rPr>
      </w:pPr>
    </w:p>
    <w:p w14:paraId="4F34B6FB">
      <w:pPr>
        <w:pStyle w:val="2"/>
        <w:rPr>
          <w:color w:val="000000" w:themeColor="text1"/>
          <w:u w:val="none" w:color="auto"/>
          <w14:textFill>
            <w14:solidFill>
              <w14:schemeClr w14:val="tx1"/>
            </w14:solidFill>
          </w14:textFill>
        </w:rPr>
      </w:pPr>
    </w:p>
    <w:p w14:paraId="2F99D866">
      <w:pPr>
        <w:rPr>
          <w:color w:val="000000" w:themeColor="text1"/>
          <w:u w:val="none" w:color="auto"/>
          <w14:textFill>
            <w14:solidFill>
              <w14:schemeClr w14:val="tx1"/>
            </w14:solidFill>
          </w14:textFill>
        </w:rPr>
      </w:pPr>
    </w:p>
    <w:p w14:paraId="78226402">
      <w:pPr>
        <w:pStyle w:val="2"/>
        <w:rPr>
          <w:color w:val="000000" w:themeColor="text1"/>
          <w:u w:val="none" w:color="auto"/>
          <w14:textFill>
            <w14:solidFill>
              <w14:schemeClr w14:val="tx1"/>
            </w14:solidFill>
          </w14:textFill>
        </w:rPr>
      </w:pPr>
    </w:p>
    <w:p w14:paraId="20E2EAD8">
      <w:pPr>
        <w:rPr>
          <w:color w:val="000000" w:themeColor="text1"/>
          <w:u w:val="none" w:color="auto"/>
          <w14:textFill>
            <w14:solidFill>
              <w14:schemeClr w14:val="tx1"/>
            </w14:solidFill>
          </w14:textFill>
        </w:rPr>
      </w:pPr>
    </w:p>
    <w:p w14:paraId="114D18CE">
      <w:pPr>
        <w:pStyle w:val="2"/>
        <w:rPr>
          <w:color w:val="000000" w:themeColor="text1"/>
          <w:u w:val="none" w:color="auto"/>
          <w14:textFill>
            <w14:solidFill>
              <w14:schemeClr w14:val="tx1"/>
            </w14:solidFill>
          </w14:textFill>
        </w:rPr>
      </w:pPr>
    </w:p>
    <w:p w14:paraId="78BB1C67">
      <w:pPr>
        <w:rPr>
          <w:color w:val="000000" w:themeColor="text1"/>
          <w:u w:val="none" w:color="auto"/>
          <w14:textFill>
            <w14:solidFill>
              <w14:schemeClr w14:val="tx1"/>
            </w14:solidFill>
          </w14:textFill>
        </w:rPr>
      </w:pPr>
    </w:p>
    <w:p w14:paraId="7EB4AB96">
      <w:pPr>
        <w:pStyle w:val="2"/>
        <w:rPr>
          <w:color w:val="000000" w:themeColor="text1"/>
          <w:u w:val="none" w:color="auto"/>
          <w14:textFill>
            <w14:solidFill>
              <w14:schemeClr w14:val="tx1"/>
            </w14:solidFill>
          </w14:textFill>
        </w:rPr>
      </w:pPr>
    </w:p>
    <w:p w14:paraId="52AE1BFE">
      <w:pPr>
        <w:rPr>
          <w:color w:val="000000" w:themeColor="text1"/>
          <w:u w:val="none" w:color="auto"/>
          <w14:textFill>
            <w14:solidFill>
              <w14:schemeClr w14:val="tx1"/>
            </w14:solidFill>
          </w14:textFill>
        </w:rPr>
      </w:pPr>
    </w:p>
    <w:p w14:paraId="36532D21">
      <w:pPr>
        <w:pStyle w:val="2"/>
        <w:rPr>
          <w:color w:val="000000" w:themeColor="text1"/>
          <w:u w:val="none" w:color="auto"/>
          <w14:textFill>
            <w14:solidFill>
              <w14:schemeClr w14:val="tx1"/>
            </w14:solidFill>
          </w14:textFill>
        </w:rPr>
      </w:pPr>
    </w:p>
    <w:p w14:paraId="261FFBE5">
      <w:pPr>
        <w:rPr>
          <w:color w:val="000000" w:themeColor="text1"/>
          <w:u w:val="none" w:color="auto"/>
          <w14:textFill>
            <w14:solidFill>
              <w14:schemeClr w14:val="tx1"/>
            </w14:solidFill>
          </w14:textFill>
        </w:rPr>
      </w:pPr>
    </w:p>
    <w:p w14:paraId="533B2DC6">
      <w:pPr>
        <w:rPr>
          <w:color w:val="000000" w:themeColor="text1"/>
          <w:u w:val="none" w:color="auto"/>
          <w14:textFill>
            <w14:solidFill>
              <w14:schemeClr w14:val="tx1"/>
            </w14:solidFill>
          </w14:textFill>
        </w:rPr>
      </w:pPr>
    </w:p>
    <w:p w14:paraId="7D3B5410">
      <w:pPr>
        <w:rPr>
          <w:color w:val="000000" w:themeColor="text1"/>
          <w:u w:val="none" w:color="auto"/>
          <w14:textFill>
            <w14:solidFill>
              <w14:schemeClr w14:val="tx1"/>
            </w14:solidFill>
          </w14:textFill>
        </w:rPr>
      </w:pPr>
      <w:bookmarkStart w:id="0" w:name="_GoBack"/>
      <w:bookmarkEnd w:id="0"/>
    </w:p>
    <w:p w14:paraId="6906D0D1">
      <w:pPr>
        <w:pStyle w:val="2"/>
        <w:rPr>
          <w:color w:val="000000" w:themeColor="text1"/>
          <w:u w:val="none" w:color="auto"/>
          <w14:textFill>
            <w14:solidFill>
              <w14:schemeClr w14:val="tx1"/>
            </w14:solidFill>
          </w14:textFill>
        </w:rPr>
      </w:pPr>
    </w:p>
    <w:p w14:paraId="411A84DA">
      <w:pPr>
        <w:rPr>
          <w:color w:val="000000" w:themeColor="text1"/>
          <w:u w:val="none" w:color="auto"/>
          <w14:textFill>
            <w14:solidFill>
              <w14:schemeClr w14:val="tx1"/>
            </w14:solidFill>
          </w14:textFill>
        </w:rPr>
      </w:pPr>
    </w:p>
    <w:p w14:paraId="5E37BE19">
      <w:pPr>
        <w:pStyle w:val="2"/>
        <w:rPr>
          <w:color w:val="000000" w:themeColor="text1"/>
          <w:u w:val="none" w:color="auto"/>
          <w14:textFill>
            <w14:solidFill>
              <w14:schemeClr w14:val="tx1"/>
            </w14:solidFill>
          </w14:textFill>
        </w:rPr>
      </w:pPr>
    </w:p>
    <w:p w14:paraId="7E9A3A94">
      <w:pPr>
        <w:rPr>
          <w:color w:val="000000" w:themeColor="text1"/>
          <w:u w:val="none" w:color="auto"/>
          <w14:textFill>
            <w14:solidFill>
              <w14:schemeClr w14:val="tx1"/>
            </w14:solidFill>
          </w14:textFill>
        </w:rPr>
      </w:pPr>
    </w:p>
    <w:p w14:paraId="27286AA4">
      <w:pPr>
        <w:pStyle w:val="2"/>
        <w:rPr>
          <w:color w:val="000000" w:themeColor="text1"/>
          <w:u w:val="none" w:color="auto"/>
          <w14:textFill>
            <w14:solidFill>
              <w14:schemeClr w14:val="tx1"/>
            </w14:solidFill>
          </w14:textFill>
        </w:rPr>
      </w:pPr>
    </w:p>
    <w:p w14:paraId="1B073A5B">
      <w:pPr>
        <w:rPr>
          <w:color w:val="000000" w:themeColor="text1"/>
          <w:u w:val="none" w:color="auto"/>
          <w14:textFill>
            <w14:solidFill>
              <w14:schemeClr w14:val="tx1"/>
            </w14:solidFill>
          </w14:textFill>
        </w:rPr>
      </w:pPr>
    </w:p>
    <w:p w14:paraId="79B39271">
      <w:pPr>
        <w:pStyle w:val="2"/>
        <w:rPr>
          <w:color w:val="000000" w:themeColor="text1"/>
          <w:u w:val="none" w:color="auto"/>
          <w14:textFill>
            <w14:solidFill>
              <w14:schemeClr w14:val="tx1"/>
            </w14:solidFill>
          </w14:textFill>
        </w:rPr>
      </w:pPr>
    </w:p>
    <w:p w14:paraId="2DF5BEE0">
      <w:pPr>
        <w:rPr>
          <w:color w:val="000000" w:themeColor="text1"/>
          <w:u w:val="none" w:color="auto"/>
          <w14:textFill>
            <w14:solidFill>
              <w14:schemeClr w14:val="tx1"/>
            </w14:solidFill>
          </w14:textFill>
        </w:rPr>
      </w:pPr>
    </w:p>
    <w:p w14:paraId="053D3A94">
      <w:pPr>
        <w:pStyle w:val="2"/>
        <w:rPr>
          <w:color w:val="000000" w:themeColor="text1"/>
          <w:u w:val="none" w:color="auto"/>
          <w14:textFill>
            <w14:solidFill>
              <w14:schemeClr w14:val="tx1"/>
            </w14:solidFill>
          </w14:textFill>
        </w:rPr>
      </w:pPr>
    </w:p>
    <w:p w14:paraId="40930117">
      <w:pPr>
        <w:rPr>
          <w:color w:val="000000" w:themeColor="text1"/>
          <w:u w:val="none" w:color="auto"/>
          <w14:textFill>
            <w14:solidFill>
              <w14:schemeClr w14:val="tx1"/>
            </w14:solidFill>
          </w14:textFill>
        </w:rPr>
      </w:pPr>
    </w:p>
    <w:p w14:paraId="3A628FD3">
      <w:pPr>
        <w:pStyle w:val="2"/>
        <w:rPr>
          <w:color w:val="000000" w:themeColor="text1"/>
          <w:u w:val="none" w:color="auto"/>
          <w14:textFill>
            <w14:solidFill>
              <w14:schemeClr w14:val="tx1"/>
            </w14:solidFill>
          </w14:textFill>
        </w:rPr>
      </w:pPr>
    </w:p>
    <w:p w14:paraId="336069BB">
      <w:pPr>
        <w:rPr>
          <w:color w:val="000000" w:themeColor="text1"/>
          <w:u w:val="none" w:color="auto"/>
          <w14:textFill>
            <w14:solidFill>
              <w14:schemeClr w14:val="tx1"/>
            </w14:solidFill>
          </w14:textFill>
        </w:rPr>
      </w:pPr>
    </w:p>
    <w:p w14:paraId="008E2BA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52"/>
          <w:lang w:val="en-US" w:eastAsia="zh-CN"/>
        </w:rPr>
      </w:pPr>
      <w:r>
        <w:rPr>
          <w:rFonts w:hint="eastAsia" w:ascii="方正小标宋简体" w:hAnsi="方正小标宋简体" w:eastAsia="方正小标宋简体" w:cs="方正小标宋简体"/>
          <w:sz w:val="44"/>
          <w:szCs w:val="52"/>
          <w:lang w:val="en-US" w:eastAsia="zh-CN"/>
        </w:rPr>
        <w:t>名词解释</w:t>
      </w:r>
    </w:p>
    <w:p w14:paraId="0E2784A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sz w:val="32"/>
          <w:szCs w:val="40"/>
          <w:lang w:val="en-US" w:eastAsia="zh-CN"/>
        </w:rPr>
      </w:pPr>
      <w:r>
        <w:rPr>
          <w:rFonts w:hint="eastAsia" w:ascii="楷体_GB2312" w:hAnsi="楷体_GB2312" w:eastAsia="楷体_GB2312" w:cs="楷体_GB2312"/>
          <w:sz w:val="32"/>
          <w:szCs w:val="40"/>
          <w:lang w:val="en-US" w:eastAsia="zh-CN"/>
        </w:rPr>
        <w:t>（以文中出现先后为序）</w:t>
      </w:r>
    </w:p>
    <w:p w14:paraId="15ACAEE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40"/>
          <w:lang w:val="en-US" w:eastAsia="zh-CN"/>
        </w:rPr>
      </w:pPr>
    </w:p>
    <w:p w14:paraId="13E617F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黑体" w:hAnsi="黑体" w:eastAsia="黑体" w:cs="黑体"/>
          <w:sz w:val="32"/>
          <w:szCs w:val="40"/>
          <w:lang w:val="en-US" w:eastAsia="zh-CN"/>
        </w:rPr>
        <w:t>一、“四件大事”：</w:t>
      </w:r>
      <w:r>
        <w:rPr>
          <w:rFonts w:hint="eastAsia" w:ascii="仿宋_GB2312" w:hAnsi="仿宋_GB2312" w:eastAsia="仿宋_GB2312" w:cs="仿宋_GB2312"/>
          <w:sz w:val="32"/>
          <w:szCs w:val="40"/>
          <w:lang w:val="en-US" w:eastAsia="zh-CN"/>
        </w:rPr>
        <w:t>习近平总书记在2020年8月28日至29日中央第七次西藏工作座谈会上提出的“稳定、发展、生态、强边”四件大事。</w:t>
      </w:r>
    </w:p>
    <w:p w14:paraId="5DE79AB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黑体" w:hAnsi="黑体" w:eastAsia="黑体" w:cs="黑体"/>
          <w:sz w:val="32"/>
          <w:szCs w:val="40"/>
          <w:lang w:val="en-US" w:eastAsia="zh-CN"/>
        </w:rPr>
        <w:t>二、“四个创建”：</w:t>
      </w:r>
      <w:r>
        <w:rPr>
          <w:rFonts w:hint="eastAsia" w:ascii="仿宋_GB2312" w:hAnsi="仿宋_GB2312" w:eastAsia="仿宋_GB2312" w:cs="仿宋_GB2312"/>
          <w:sz w:val="32"/>
          <w:szCs w:val="40"/>
          <w:lang w:val="en-US" w:eastAsia="zh-CN"/>
        </w:rPr>
        <w:t>着力创建全国民族团结进步模范区、着力创建高原经济高质量发展先行区、着力创建国家生态文明高地、着力创建国家固边兴边富民行动示范区。</w:t>
      </w:r>
    </w:p>
    <w:p w14:paraId="45BEC71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黑体" w:hAnsi="黑体" w:eastAsia="黑体" w:cs="黑体"/>
          <w:sz w:val="32"/>
          <w:szCs w:val="40"/>
          <w:lang w:val="en-US" w:eastAsia="zh-CN"/>
        </w:rPr>
        <w:t>三、“红色昌都·振兴奋进”活动:</w:t>
      </w:r>
      <w:r>
        <w:rPr>
          <w:rFonts w:hint="eastAsia" w:ascii="仿宋_GB2312" w:hAnsi="仿宋_GB2312" w:eastAsia="仿宋_GB2312" w:cs="仿宋_GB2312"/>
          <w:sz w:val="32"/>
          <w:szCs w:val="40"/>
          <w:lang w:val="en-US" w:eastAsia="zh-CN"/>
        </w:rPr>
        <w:t>是昌都市委、市政府深入学习运用习近平新时代中国特色社会主义思想蕴含的世界观和方法论，贯彻落实王君正书记和自治区党委关于昌都工作的部署要求，作出的一项重大部署。</w:t>
      </w:r>
      <w:r>
        <w:rPr>
          <w:rFonts w:hint="eastAsia" w:ascii="仿宋_GB2312" w:hAnsi="仿宋_GB2312" w:eastAsia="仿宋_GB2312" w:cs="仿宋_GB2312"/>
          <w:b/>
          <w:bCs/>
          <w:sz w:val="32"/>
          <w:szCs w:val="40"/>
          <w:lang w:val="en-US" w:eastAsia="zh-CN"/>
        </w:rPr>
        <w:t>活动目标，</w:t>
      </w:r>
      <w:r>
        <w:rPr>
          <w:rFonts w:hint="eastAsia" w:ascii="仿宋_GB2312" w:hAnsi="仿宋_GB2312" w:eastAsia="仿宋_GB2312" w:cs="仿宋_GB2312"/>
          <w:sz w:val="32"/>
          <w:szCs w:val="40"/>
          <w:lang w:val="en-US" w:eastAsia="zh-CN"/>
        </w:rPr>
        <w:t>激发人民群众积极参与奋力实现“一切向东，建设长治久安和高质量发展引领示范市”的工作目标。</w:t>
      </w:r>
      <w:r>
        <w:rPr>
          <w:rFonts w:hint="eastAsia" w:ascii="仿宋_GB2312" w:hAnsi="仿宋_GB2312" w:eastAsia="仿宋_GB2312" w:cs="仿宋_GB2312"/>
          <w:b/>
          <w:bCs/>
          <w:sz w:val="32"/>
          <w:szCs w:val="40"/>
          <w:lang w:val="en-US" w:eastAsia="zh-CN"/>
        </w:rPr>
        <w:t>活动载体，</w:t>
      </w:r>
      <w:r>
        <w:rPr>
          <w:rFonts w:hint="eastAsia" w:ascii="仿宋_GB2312" w:hAnsi="仿宋_GB2312" w:eastAsia="仿宋_GB2312" w:cs="仿宋_GB2312"/>
          <w:sz w:val="32"/>
          <w:szCs w:val="40"/>
          <w:lang w:val="en-US" w:eastAsia="zh-CN"/>
        </w:rPr>
        <w:t>以竞赛交流为载体。</w:t>
      </w:r>
      <w:r>
        <w:rPr>
          <w:rFonts w:hint="eastAsia" w:ascii="仿宋_GB2312" w:hAnsi="仿宋_GB2312" w:eastAsia="仿宋_GB2312" w:cs="仿宋_GB2312"/>
          <w:b/>
          <w:bCs/>
          <w:sz w:val="32"/>
          <w:szCs w:val="40"/>
          <w:lang w:val="en-US" w:eastAsia="zh-CN"/>
        </w:rPr>
        <w:t>活动时间，</w:t>
      </w:r>
      <w:r>
        <w:rPr>
          <w:rFonts w:hint="eastAsia" w:ascii="仿宋_GB2312" w:hAnsi="仿宋_GB2312" w:eastAsia="仿宋_GB2312" w:cs="仿宋_GB2312"/>
          <w:sz w:val="32"/>
          <w:szCs w:val="40"/>
          <w:lang w:val="en-US" w:eastAsia="zh-CN"/>
        </w:rPr>
        <w:t>全年贯通，每年8月初至三江茶马文化艺术节期间举办市级决赛活动。</w:t>
      </w:r>
      <w:r>
        <w:rPr>
          <w:rFonts w:hint="eastAsia" w:ascii="仿宋_GB2312" w:hAnsi="仿宋_GB2312" w:eastAsia="仿宋_GB2312" w:cs="仿宋_GB2312"/>
          <w:b/>
          <w:bCs/>
          <w:sz w:val="32"/>
          <w:szCs w:val="40"/>
          <w:lang w:val="en-US" w:eastAsia="zh-CN"/>
        </w:rPr>
        <w:t>参加人员范围，</w:t>
      </w:r>
      <w:r>
        <w:rPr>
          <w:rFonts w:hint="eastAsia" w:ascii="仿宋_GB2312" w:hAnsi="仿宋_GB2312" w:eastAsia="仿宋_GB2312" w:cs="仿宋_GB2312"/>
          <w:sz w:val="32"/>
          <w:szCs w:val="40"/>
          <w:lang w:val="en-US" w:eastAsia="zh-CN"/>
        </w:rPr>
        <w:t>群众全员参与（包括寺庙僧尼、民营企业及基层合作社职工等）；乡镇干部、驻村驻寺干部、村（社）“两委”干部（选派第一支部书记）、各类专干等既是组织者、又是参与者。</w:t>
      </w:r>
      <w:r>
        <w:rPr>
          <w:rFonts w:hint="eastAsia" w:ascii="仿宋_GB2312" w:hAnsi="仿宋_GB2312" w:eastAsia="仿宋_GB2312" w:cs="仿宋_GB2312"/>
          <w:b/>
          <w:bCs/>
          <w:sz w:val="32"/>
          <w:szCs w:val="40"/>
          <w:lang w:val="en-US" w:eastAsia="zh-CN"/>
        </w:rPr>
        <w:t>竞赛形式，</w:t>
      </w:r>
      <w:r>
        <w:rPr>
          <w:rFonts w:hint="eastAsia" w:ascii="仿宋_GB2312" w:hAnsi="仿宋_GB2312" w:eastAsia="仿宋_GB2312" w:cs="仿宋_GB2312"/>
          <w:sz w:val="32"/>
          <w:szCs w:val="40"/>
          <w:lang w:val="en-US" w:eastAsia="zh-CN"/>
        </w:rPr>
        <w:t>比赛分团体和个人两种形式。</w:t>
      </w:r>
      <w:r>
        <w:rPr>
          <w:rFonts w:hint="eastAsia" w:ascii="仿宋_GB2312" w:hAnsi="仿宋_GB2312" w:eastAsia="仿宋_GB2312" w:cs="仿宋_GB2312"/>
          <w:b/>
          <w:bCs/>
          <w:sz w:val="32"/>
          <w:szCs w:val="40"/>
          <w:lang w:val="en-US" w:eastAsia="zh-CN"/>
        </w:rPr>
        <w:t>活动内容，</w:t>
      </w:r>
      <w:r>
        <w:rPr>
          <w:rFonts w:hint="eastAsia" w:ascii="仿宋_GB2312" w:hAnsi="仿宋_GB2312" w:eastAsia="仿宋_GB2312" w:cs="仿宋_GB2312"/>
          <w:sz w:val="32"/>
          <w:szCs w:val="40"/>
          <w:lang w:val="en-US" w:eastAsia="zh-CN"/>
        </w:rPr>
        <w:t>共有七大内容，分为33项比赛，其中个人赛26项，团体赛7项。</w:t>
      </w:r>
    </w:p>
    <w:p w14:paraId="05F8D6E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黑体" w:hAnsi="黑体" w:eastAsia="黑体" w:cs="黑体"/>
          <w:sz w:val="32"/>
          <w:szCs w:val="40"/>
          <w:lang w:val="en-US" w:eastAsia="zh-CN"/>
        </w:rPr>
        <w:t>四、“八个八”文旅发展思路：</w:t>
      </w:r>
      <w:r>
        <w:rPr>
          <w:rFonts w:hint="eastAsia" w:ascii="仿宋_GB2312" w:hAnsi="仿宋_GB2312" w:eastAsia="仿宋_GB2312" w:cs="仿宋_GB2312"/>
          <w:sz w:val="32"/>
          <w:szCs w:val="40"/>
          <w:lang w:val="en-US" w:eastAsia="zh-CN"/>
        </w:rPr>
        <w:t>八宿县为进一步推动旅游发展，以文旅康养为主攻方向提出的文旅发展思路，即八道特色美食、八位形象大使、八处网红景点、八天心灵归宿、八大夜游场景、八个文化符号、八项旅游体验、八大旅游产品。</w:t>
      </w:r>
    </w:p>
    <w:p w14:paraId="2AEAE8F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黑体" w:hAnsi="黑体" w:eastAsia="黑体" w:cs="黑体"/>
          <w:sz w:val="32"/>
          <w:szCs w:val="40"/>
          <w:lang w:val="en-US" w:eastAsia="zh-CN"/>
        </w:rPr>
        <w:t>五、政务服务“一网通办”</w:t>
      </w:r>
      <w:r>
        <w:rPr>
          <w:rFonts w:hint="eastAsia" w:ascii="仿宋_GB2312" w:hAnsi="仿宋_GB2312" w:eastAsia="仿宋_GB2312" w:cs="仿宋_GB2312"/>
          <w:sz w:val="32"/>
          <w:szCs w:val="40"/>
          <w:lang w:val="en-US" w:eastAsia="zh-CN"/>
        </w:rPr>
        <w:t>是指依托一体化政务服务平台，通过规范网上办事标准、优化办事流程、搭建统一的互联网政务服务总门户、整合政府服务数据资源、完善配套制度等措施，统一提供网上办事服务。</w:t>
      </w:r>
    </w:p>
    <w:p w14:paraId="1402CDA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黑体" w:hAnsi="黑体" w:eastAsia="黑体" w:cs="黑体"/>
          <w:sz w:val="32"/>
          <w:szCs w:val="40"/>
          <w:lang w:val="en-US" w:eastAsia="zh-CN"/>
        </w:rPr>
        <w:t>六、“双招双引”：</w:t>
      </w:r>
      <w:r>
        <w:rPr>
          <w:rFonts w:hint="eastAsia" w:ascii="仿宋_GB2312" w:hAnsi="仿宋_GB2312" w:eastAsia="仿宋_GB2312" w:cs="仿宋_GB2312"/>
          <w:sz w:val="32"/>
          <w:szCs w:val="40"/>
          <w:lang w:val="en-US" w:eastAsia="zh-CN"/>
        </w:rPr>
        <w:t>指招商引资、招才引智。</w:t>
      </w:r>
    </w:p>
    <w:p w14:paraId="66D1844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黑体" w:hAnsi="黑体" w:eastAsia="黑体" w:cs="黑体"/>
          <w:sz w:val="32"/>
          <w:szCs w:val="40"/>
          <w:lang w:val="en-US" w:eastAsia="zh-CN"/>
        </w:rPr>
        <w:t>七、“两降一升”：</w:t>
      </w:r>
      <w:r>
        <w:rPr>
          <w:rFonts w:hint="eastAsia" w:ascii="仿宋_GB2312" w:hAnsi="仿宋_GB2312" w:eastAsia="仿宋_GB2312" w:cs="仿宋_GB2312"/>
          <w:sz w:val="32"/>
          <w:szCs w:val="40"/>
          <w:lang w:val="en-US" w:eastAsia="zh-CN"/>
        </w:rPr>
        <w:t>降低婴幼儿死亡率、孕产妇死亡率。提高住院分娩率。</w:t>
      </w:r>
    </w:p>
    <w:p w14:paraId="6C0168F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黑体" w:hAnsi="黑体" w:eastAsia="黑体" w:cs="黑体"/>
          <w:sz w:val="32"/>
          <w:szCs w:val="40"/>
          <w:lang w:val="en-US" w:eastAsia="zh-CN"/>
        </w:rPr>
        <w:t>八、两个确立：</w:t>
      </w:r>
      <w:r>
        <w:rPr>
          <w:rFonts w:hint="eastAsia" w:ascii="仿宋_GB2312" w:hAnsi="仿宋_GB2312" w:eastAsia="仿宋_GB2312" w:cs="仿宋_GB2312"/>
          <w:sz w:val="32"/>
          <w:szCs w:val="40"/>
          <w:lang w:val="en-US" w:eastAsia="zh-CN"/>
        </w:rPr>
        <w:t>确立习近平同志党中央的核心、全党的核心地位。确立习近平新时代中国特色社会主义思想的指导地位。</w:t>
      </w:r>
    </w:p>
    <w:p w14:paraId="6A7EE86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黑体" w:hAnsi="黑体" w:eastAsia="黑体" w:cs="黑体"/>
          <w:sz w:val="32"/>
          <w:szCs w:val="40"/>
          <w:lang w:val="en-US" w:eastAsia="zh-CN"/>
        </w:rPr>
        <w:t>九、两个维护：</w:t>
      </w:r>
      <w:r>
        <w:rPr>
          <w:rFonts w:hint="eastAsia" w:ascii="仿宋_GB2312" w:hAnsi="仿宋_GB2312" w:eastAsia="仿宋_GB2312" w:cs="仿宋_GB2312"/>
          <w:sz w:val="32"/>
          <w:szCs w:val="40"/>
          <w:lang w:val="en-US" w:eastAsia="zh-CN"/>
        </w:rPr>
        <w:t xml:space="preserve">坚决维护习近平总书记党中央的核心、全党的核心地位。坚决维护以习近平同志为核心的党中央权威和集中统一领导。 </w:t>
      </w:r>
    </w:p>
    <w:p w14:paraId="0B23C79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黑体" w:hAnsi="黑体" w:eastAsia="黑体" w:cs="黑体"/>
          <w:sz w:val="32"/>
          <w:szCs w:val="40"/>
          <w:lang w:val="en-US" w:eastAsia="zh-CN"/>
        </w:rPr>
        <w:t>十、“三重一大”：</w:t>
      </w:r>
      <w:r>
        <w:rPr>
          <w:rFonts w:hint="eastAsia" w:ascii="仿宋_GB2312" w:hAnsi="仿宋_GB2312" w:eastAsia="仿宋_GB2312" w:cs="仿宋_GB2312"/>
          <w:sz w:val="32"/>
          <w:szCs w:val="40"/>
          <w:lang w:val="en-US" w:eastAsia="zh-CN"/>
        </w:rPr>
        <w:t>重大事项决策、重要干部任免、重大项目投资决策、大额资金使用。</w:t>
      </w:r>
    </w:p>
    <w:p w14:paraId="5403301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黑体" w:hAnsi="黑体" w:eastAsia="黑体" w:cs="黑体"/>
          <w:sz w:val="32"/>
          <w:szCs w:val="40"/>
          <w:lang w:val="en-US" w:eastAsia="zh-CN"/>
        </w:rPr>
        <w:t>十一、“三公”经费：</w:t>
      </w:r>
      <w:r>
        <w:rPr>
          <w:rFonts w:hint="eastAsia" w:ascii="仿宋_GB2312" w:hAnsi="仿宋_GB2312" w:eastAsia="仿宋_GB2312" w:cs="仿宋_GB2312"/>
          <w:sz w:val="32"/>
          <w:szCs w:val="40"/>
          <w:lang w:val="en-US" w:eastAsia="zh-CN"/>
        </w:rPr>
        <w:t>政府部门在因公出国（境）、公务用车购置及运行、公务接待过程中使用的财政经费。</w:t>
      </w:r>
    </w:p>
    <w:p w14:paraId="37BE14F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40"/>
          <w:lang w:val="en-US" w:eastAsia="zh-CN"/>
        </w:rPr>
      </w:pPr>
      <w:r>
        <w:rPr>
          <w:rFonts w:hint="eastAsia" w:ascii="黑体" w:hAnsi="黑体" w:eastAsia="黑体" w:cs="黑体"/>
          <w:sz w:val="32"/>
          <w:szCs w:val="40"/>
          <w:lang w:val="en-US" w:eastAsia="zh-CN"/>
        </w:rPr>
        <w:t>十二、“一切向东”工作目标：</w:t>
      </w:r>
      <w:r>
        <w:rPr>
          <w:rFonts w:hint="eastAsia" w:ascii="仿宋_GB2312" w:hAnsi="仿宋_GB2312" w:eastAsia="仿宋_GB2312" w:cs="仿宋_GB2312"/>
          <w:sz w:val="32"/>
          <w:szCs w:val="40"/>
          <w:lang w:val="en-US" w:eastAsia="zh-CN"/>
        </w:rPr>
        <w:t>一切向东，建设长治久安和高质量发展引领示范市。</w:t>
      </w:r>
    </w:p>
    <w:p w14:paraId="5B1F196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黑体" w:hAnsi="黑体" w:eastAsia="黑体" w:cs="黑体"/>
          <w:sz w:val="32"/>
          <w:szCs w:val="40"/>
          <w:lang w:val="en-US" w:eastAsia="zh-CN"/>
        </w:rPr>
        <w:t>十三、“三个赋予一个有利于”：</w:t>
      </w:r>
      <w:r>
        <w:rPr>
          <w:rFonts w:hint="eastAsia" w:ascii="仿宋_GB2312" w:hAnsi="仿宋_GB2312" w:eastAsia="仿宋_GB2312" w:cs="仿宋_GB2312"/>
          <w:sz w:val="32"/>
          <w:szCs w:val="40"/>
          <w:lang w:val="en-US" w:eastAsia="zh-CN"/>
        </w:rPr>
        <w:t>所有发展都要赋予民族团结进步的意义，都要赋予维护统一、反对分裂的意义，都要赋予改善民生、凝聚人心的意义，都要有利于提升各族群众获得感、幸福感、安全感。</w:t>
      </w:r>
    </w:p>
    <w:p w14:paraId="4DC8720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40"/>
          <w:lang w:val="en-US" w:eastAsia="zh-CN"/>
        </w:rPr>
      </w:pPr>
      <w:r>
        <w:rPr>
          <w:rFonts w:hint="eastAsia" w:ascii="黑体" w:hAnsi="黑体" w:eastAsia="黑体" w:cs="黑体"/>
          <w:sz w:val="32"/>
          <w:szCs w:val="40"/>
          <w:lang w:val="en-US" w:eastAsia="zh-CN"/>
        </w:rPr>
        <w:t>十四、“3+1+1”重大发展任务：</w:t>
      </w:r>
      <w:r>
        <w:rPr>
          <w:rFonts w:hint="eastAsia" w:ascii="仿宋_GB2312" w:hAnsi="仿宋_GB2312" w:eastAsia="仿宋_GB2312" w:cs="仿宋_GB2312"/>
          <w:sz w:val="32"/>
          <w:szCs w:val="40"/>
          <w:lang w:val="en-US" w:eastAsia="zh-CN"/>
        </w:rPr>
        <w:t>全面推进清洁能源、绿色矿业、文化旅游+天地一体的交通枢纽+农牧业的重大任务建设。</w:t>
      </w:r>
    </w:p>
    <w:p w14:paraId="658714D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40"/>
          <w:lang w:val="en-US" w:eastAsia="zh-CN"/>
        </w:rPr>
      </w:pPr>
      <w:r>
        <w:rPr>
          <w:rFonts w:hint="eastAsia" w:ascii="黑体" w:hAnsi="黑体" w:eastAsia="黑体" w:cs="黑体"/>
          <w:sz w:val="32"/>
          <w:szCs w:val="40"/>
          <w:lang w:val="en-US" w:eastAsia="zh-CN"/>
        </w:rPr>
        <w:t>十五、“1458”县域总体发展思路：</w:t>
      </w:r>
      <w:r>
        <w:rPr>
          <w:rFonts w:hint="eastAsia" w:ascii="仿宋_GB2312" w:hAnsi="仿宋_GB2312" w:eastAsia="仿宋_GB2312" w:cs="仿宋_GB2312"/>
          <w:sz w:val="32"/>
          <w:szCs w:val="40"/>
          <w:lang w:val="en-US" w:eastAsia="zh-CN"/>
        </w:rPr>
        <w:t>围绕建设藏东区域长治久安和高质量发展先行县这一目标。抓好保稳定、强经济、抓生态、固边防四项重点工作。着力将八宿打造成为清洁能源产业集群县、文化旅游精品样板县、绿色工业园区标杆县、天地一体枢纽领航县、特色农畜产品供给县五个产业主攻方向。聚焦突出短板弱项，深入实施基层党建提升行动、重大项目建设攻坚年行动、提振消费专项行动、产业提质升级行动、城乡环境整治提升行动、就业促增收提质行动、教育提质年专项行动、医疗卫生提质专项行动8大行动。</w:t>
      </w:r>
    </w:p>
    <w:p w14:paraId="00B3C25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黑体" w:hAnsi="黑体" w:eastAsia="黑体" w:cs="黑体"/>
          <w:sz w:val="32"/>
          <w:szCs w:val="40"/>
          <w:lang w:val="en-US" w:eastAsia="zh-CN"/>
        </w:rPr>
        <w:t>十六、“枫桥经验”：</w:t>
      </w:r>
      <w:r>
        <w:rPr>
          <w:rFonts w:hint="eastAsia" w:ascii="仿宋_GB2312" w:hAnsi="仿宋_GB2312" w:eastAsia="仿宋_GB2312" w:cs="仿宋_GB2312"/>
          <w:sz w:val="32"/>
          <w:szCs w:val="40"/>
          <w:lang w:val="en-US" w:eastAsia="zh-CN"/>
        </w:rPr>
        <w:t>上世纪60年代初浙江枫桥干部群众创造的“依靠群众就地化解矛盾”的“枫桥经验”。</w:t>
      </w:r>
    </w:p>
    <w:p w14:paraId="0A90737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黑体" w:hAnsi="黑体" w:eastAsia="黑体" w:cs="黑体"/>
          <w:sz w:val="32"/>
          <w:szCs w:val="40"/>
          <w:lang w:val="en-US" w:eastAsia="zh-CN"/>
        </w:rPr>
        <w:t>十七、“八五”普法：</w:t>
      </w:r>
      <w:r>
        <w:rPr>
          <w:rFonts w:hint="eastAsia" w:ascii="仿宋_GB2312" w:hAnsi="仿宋_GB2312" w:eastAsia="仿宋_GB2312" w:cs="仿宋_GB2312"/>
          <w:sz w:val="32"/>
          <w:szCs w:val="40"/>
          <w:lang w:val="en-US" w:eastAsia="zh-CN"/>
        </w:rPr>
        <w:t>中央宣传部、司法部关于开展法治宣传教育的第八个五年规划，主要目标是到2025年，提升公民法治素养和社会治理法治化水平，使全民普法工作体系更加健全。发展和社会治理现代化密切相关的法律法规。</w:t>
      </w:r>
    </w:p>
    <w:p w14:paraId="37002EB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黑体" w:hAnsi="黑体" w:eastAsia="黑体" w:cs="黑体"/>
          <w:sz w:val="32"/>
          <w:szCs w:val="40"/>
          <w:lang w:val="en-US" w:eastAsia="zh-CN"/>
        </w:rPr>
        <w:t>十八、“四大工程”：</w:t>
      </w:r>
      <w:r>
        <w:rPr>
          <w:rFonts w:hint="eastAsia" w:ascii="仿宋_GB2312" w:hAnsi="仿宋_GB2312" w:eastAsia="仿宋_GB2312" w:cs="仿宋_GB2312"/>
          <w:sz w:val="32"/>
          <w:szCs w:val="40"/>
          <w:lang w:val="en-US" w:eastAsia="zh-CN"/>
        </w:rPr>
        <w:t>习近平总书记关于加强和改进民族工作的重要思想入脑入心工程、“五个认同”增进工程、各民族交往交流交融促进工程、模范区创建“九进”工程。</w:t>
      </w:r>
    </w:p>
    <w:p w14:paraId="407BFE7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黑体" w:hAnsi="黑体" w:eastAsia="黑体" w:cs="黑体"/>
          <w:sz w:val="32"/>
          <w:szCs w:val="40"/>
          <w:lang w:val="en-US" w:eastAsia="zh-CN"/>
        </w:rPr>
        <w:t>十九、“六项行动”：</w:t>
      </w:r>
      <w:r>
        <w:rPr>
          <w:rFonts w:hint="eastAsia" w:ascii="仿宋_GB2312" w:hAnsi="仿宋_GB2312" w:eastAsia="仿宋_GB2312" w:cs="仿宋_GB2312"/>
          <w:sz w:val="32"/>
          <w:szCs w:val="40"/>
          <w:lang w:val="en-US" w:eastAsia="zh-CN"/>
        </w:rPr>
        <w:t>爱我中华“播种”行动、“关键少数”带头示范行动、国家通用语言文字推广普及行动、社区民族团结一家亲共建行动、农牧区民族团结聚力行动、美丽边疆同心守护行动。</w:t>
      </w:r>
    </w:p>
    <w:p w14:paraId="634498C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黑体" w:hAnsi="黑体" w:eastAsia="黑体" w:cs="黑体"/>
          <w:sz w:val="32"/>
          <w:szCs w:val="40"/>
          <w:lang w:val="en-US" w:eastAsia="zh-CN"/>
        </w:rPr>
        <w:t>二十、民族“三交”活动：</w:t>
      </w:r>
      <w:r>
        <w:rPr>
          <w:rFonts w:hint="eastAsia" w:ascii="仿宋_GB2312" w:hAnsi="仿宋_GB2312" w:eastAsia="仿宋_GB2312" w:cs="仿宋_GB2312"/>
          <w:sz w:val="32"/>
          <w:szCs w:val="40"/>
          <w:lang w:val="en-US" w:eastAsia="zh-CN"/>
        </w:rPr>
        <w:t>即民族交往、交流、交融，是指促进不同民族之间在社会交往、文化交流、经济交融等方面的互动与合作，以加强各民族之间的沟通和了解，促进民族关系的和谐发展。</w:t>
      </w:r>
    </w:p>
    <w:p w14:paraId="034FCA4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黑体" w:hAnsi="黑体" w:eastAsia="黑体" w:cs="黑体"/>
          <w:sz w:val="32"/>
          <w:szCs w:val="40"/>
          <w:lang w:val="en-US" w:eastAsia="zh-CN"/>
        </w:rPr>
        <w:t>二十一、民族团结文化“两线一廊”:</w:t>
      </w:r>
      <w:r>
        <w:rPr>
          <w:rFonts w:hint="eastAsia" w:ascii="仿宋_GB2312" w:hAnsi="仿宋_GB2312" w:eastAsia="仿宋_GB2312" w:cs="仿宋_GB2312"/>
          <w:sz w:val="32"/>
          <w:szCs w:val="40"/>
          <w:lang w:val="en-US" w:eastAsia="zh-CN"/>
        </w:rPr>
        <w:t>两线指 G317、G318 沿线氛围打造;一廊指茶马文化走廊，其中包含G214、G349 部分路段的氛围打造。</w:t>
      </w:r>
    </w:p>
    <w:p w14:paraId="129BDAA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黑体" w:hAnsi="黑体" w:eastAsia="黑体" w:cs="黑体"/>
          <w:sz w:val="32"/>
          <w:szCs w:val="40"/>
          <w:lang w:val="en-US" w:eastAsia="zh-CN"/>
        </w:rPr>
        <w:t>二十二、“三个意识”：</w:t>
      </w:r>
      <w:r>
        <w:rPr>
          <w:rFonts w:hint="eastAsia" w:ascii="仿宋_GB2312" w:hAnsi="仿宋_GB2312" w:eastAsia="仿宋_GB2312" w:cs="仿宋_GB2312"/>
          <w:sz w:val="32"/>
          <w:szCs w:val="40"/>
          <w:lang w:val="en-US" w:eastAsia="zh-CN"/>
        </w:rPr>
        <w:t>国家意识、公民意识、法治意识。</w:t>
      </w:r>
    </w:p>
    <w:p w14:paraId="2F7791C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40"/>
          <w:lang w:val="en-US" w:eastAsia="zh-CN"/>
        </w:rPr>
      </w:pPr>
      <w:r>
        <w:rPr>
          <w:rFonts w:hint="eastAsia" w:ascii="黑体" w:hAnsi="黑体" w:eastAsia="黑体" w:cs="黑体"/>
          <w:sz w:val="32"/>
          <w:szCs w:val="40"/>
          <w:lang w:val="en-US" w:eastAsia="zh-CN"/>
        </w:rPr>
        <w:t>二十三、“四下基层”：</w:t>
      </w:r>
      <w:r>
        <w:rPr>
          <w:rFonts w:hint="eastAsia" w:ascii="仿宋_GB2312" w:hAnsi="仿宋_GB2312" w:eastAsia="仿宋_GB2312" w:cs="仿宋_GB2312"/>
          <w:sz w:val="32"/>
          <w:szCs w:val="40"/>
          <w:lang w:val="en-US" w:eastAsia="zh-CN"/>
        </w:rPr>
        <w:t>习近平总书记1998年在福建宁德工作时大力倡导的“宣传党的路线、方针、政策下基层，调查研究下基层，信访接待下基层，现场办公下基层”工作法。</w:t>
      </w:r>
    </w:p>
    <w:p w14:paraId="7F4201E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黑体" w:hAnsi="黑体" w:eastAsia="黑体" w:cs="黑体"/>
          <w:sz w:val="32"/>
          <w:szCs w:val="40"/>
          <w:lang w:val="en-US" w:eastAsia="zh-CN"/>
        </w:rPr>
        <w:t>二十三、“三个不增加”：</w:t>
      </w:r>
      <w:r>
        <w:rPr>
          <w:rFonts w:hint="eastAsia" w:ascii="仿宋_GB2312" w:hAnsi="仿宋_GB2312" w:eastAsia="仿宋_GB2312" w:cs="仿宋_GB2312"/>
          <w:sz w:val="32"/>
          <w:szCs w:val="40"/>
          <w:lang w:val="en-US" w:eastAsia="zh-CN"/>
        </w:rPr>
        <w:t>即宗教活动场所不增加、宗教活动不增加、宗教教职人员不增加。</w:t>
      </w:r>
    </w:p>
    <w:p w14:paraId="2AD2C8A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黑体" w:hAnsi="黑体" w:eastAsia="黑体" w:cs="黑体"/>
          <w:sz w:val="32"/>
          <w:szCs w:val="40"/>
          <w:lang w:val="en-US" w:eastAsia="zh-CN"/>
        </w:rPr>
        <w:t>二十四、“三品一标”：</w:t>
      </w:r>
      <w:r>
        <w:rPr>
          <w:rFonts w:hint="eastAsia" w:ascii="仿宋_GB2312" w:hAnsi="仿宋_GB2312" w:eastAsia="仿宋_GB2312" w:cs="仿宋_GB2312"/>
          <w:sz w:val="32"/>
          <w:szCs w:val="40"/>
          <w:lang w:val="en-US" w:eastAsia="zh-CN"/>
        </w:rPr>
        <w:t>无公害农产品、绿色食品、有机农产品，农产品地理标志。</w:t>
      </w:r>
    </w:p>
    <w:p w14:paraId="736E457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黑体" w:hAnsi="黑体" w:eastAsia="黑体" w:cs="黑体"/>
          <w:b w:val="0"/>
          <w:bCs w:val="0"/>
          <w:sz w:val="32"/>
          <w:szCs w:val="40"/>
          <w:lang w:val="en-US" w:eastAsia="zh-CN"/>
        </w:rPr>
        <w:t>二十五、“两重”：</w:t>
      </w:r>
      <w:r>
        <w:rPr>
          <w:rFonts w:hint="eastAsia" w:ascii="仿宋_GB2312" w:hAnsi="仿宋_GB2312" w:eastAsia="仿宋_GB2312" w:cs="仿宋_GB2312"/>
          <w:sz w:val="32"/>
          <w:szCs w:val="40"/>
          <w:lang w:val="en-US" w:eastAsia="zh-CN"/>
        </w:rPr>
        <w:t>是指国家重大战略实施和重点领域安全能力建设。</w:t>
      </w:r>
    </w:p>
    <w:p w14:paraId="149520C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黑体" w:hAnsi="黑体" w:eastAsia="黑体" w:cs="黑体"/>
          <w:sz w:val="32"/>
          <w:szCs w:val="40"/>
          <w:lang w:val="en-US" w:eastAsia="zh-CN"/>
        </w:rPr>
        <w:t>二十六、</w:t>
      </w:r>
      <w:r>
        <w:rPr>
          <w:rFonts w:hint="eastAsia" w:ascii="黑体" w:hAnsi="黑体" w:eastAsia="黑体" w:cs="黑体"/>
          <w:color w:val="auto"/>
          <w:kern w:val="21"/>
          <w:sz w:val="32"/>
          <w:szCs w:val="32"/>
          <w:highlight w:val="none"/>
          <w:u w:val="none"/>
          <w:lang w:val="en-US" w:eastAsia="zh-CN" w:bidi="ar-SA"/>
        </w:rPr>
        <w:t>“两新”：</w:t>
      </w:r>
      <w:r>
        <w:rPr>
          <w:rFonts w:hint="eastAsia" w:ascii="仿宋_GB2312" w:hAnsi="仿宋_GB2312" w:eastAsia="仿宋_GB2312" w:cs="仿宋_GB2312"/>
          <w:color w:val="auto"/>
          <w:kern w:val="21"/>
          <w:sz w:val="32"/>
          <w:szCs w:val="32"/>
          <w:highlight w:val="none"/>
          <w:u w:val="none"/>
          <w:lang w:val="en-US" w:eastAsia="zh-CN" w:bidi="ar-SA"/>
        </w:rPr>
        <w:t>是指大规模设备更新和消费品以旧换新。</w:t>
      </w:r>
    </w:p>
    <w:p w14:paraId="1EBF3F3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黑体" w:hAnsi="黑体" w:eastAsia="黑体" w:cs="黑体"/>
          <w:sz w:val="32"/>
          <w:szCs w:val="40"/>
          <w:lang w:val="en-US" w:eastAsia="zh-CN"/>
        </w:rPr>
        <w:t>二十七、“千万工程”：</w:t>
      </w:r>
      <w:r>
        <w:rPr>
          <w:rFonts w:hint="eastAsia" w:ascii="仿宋_GB2312" w:hAnsi="仿宋_GB2312" w:eastAsia="仿宋_GB2312" w:cs="仿宋_GB2312"/>
          <w:sz w:val="32"/>
          <w:szCs w:val="40"/>
          <w:lang w:val="en-US" w:eastAsia="zh-CN"/>
        </w:rPr>
        <w:t>习近平总书记在浙江工作时亲自谋划、亲自部署、亲自推动的“千村示范、万村整治”工程。</w:t>
      </w:r>
    </w:p>
    <w:p w14:paraId="69A968D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40"/>
          <w:lang w:val="en-US" w:eastAsia="zh-CN"/>
        </w:rPr>
      </w:pPr>
      <w:r>
        <w:rPr>
          <w:rFonts w:hint="eastAsia" w:ascii="黑体" w:hAnsi="黑体" w:eastAsia="黑体" w:cs="黑体"/>
          <w:sz w:val="32"/>
          <w:szCs w:val="40"/>
          <w:lang w:val="en-US" w:eastAsia="zh-CN"/>
        </w:rPr>
        <w:t>二十八、</w:t>
      </w:r>
      <w:r>
        <w:rPr>
          <w:rFonts w:hint="eastAsia" w:ascii="黑体" w:hAnsi="黑体" w:eastAsia="黑体" w:cs="黑体"/>
          <w:color w:val="auto"/>
          <w:kern w:val="21"/>
          <w:sz w:val="32"/>
          <w:szCs w:val="32"/>
          <w:u w:val="none"/>
          <w:lang w:val="en-US" w:eastAsia="zh-CN" w:bidi="ar-SA"/>
        </w:rPr>
        <w:t>“五育并举”：</w:t>
      </w:r>
      <w:r>
        <w:rPr>
          <w:rFonts w:hint="eastAsia" w:ascii="仿宋_GB2312" w:hAnsi="仿宋_GB2312" w:eastAsia="仿宋_GB2312" w:cs="仿宋_GB2312"/>
          <w:color w:val="auto"/>
          <w:kern w:val="21"/>
          <w:sz w:val="32"/>
          <w:szCs w:val="32"/>
          <w:u w:val="none"/>
          <w:lang w:val="en-US" w:eastAsia="zh-CN" w:bidi="ar-SA"/>
        </w:rPr>
        <w:t>强化学生德、智、体、美、劳全面发展，强化全方位育人。</w:t>
      </w:r>
    </w:p>
    <w:p w14:paraId="6457D34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黑体" w:hAnsi="黑体" w:eastAsia="黑体" w:cs="黑体"/>
          <w:sz w:val="32"/>
          <w:szCs w:val="40"/>
          <w:lang w:val="en-US" w:eastAsia="zh-CN"/>
        </w:rPr>
        <w:t>二十九、“五个针对”：</w:t>
      </w:r>
      <w:r>
        <w:rPr>
          <w:rFonts w:hint="eastAsia" w:ascii="仿宋_GB2312" w:hAnsi="仿宋_GB2312" w:eastAsia="仿宋_GB2312" w:cs="仿宋_GB2312"/>
          <w:b/>
          <w:bCs/>
          <w:sz w:val="32"/>
          <w:szCs w:val="40"/>
          <w:lang w:val="en-US" w:eastAsia="zh-CN"/>
        </w:rPr>
        <w:t>一是</w:t>
      </w:r>
      <w:r>
        <w:rPr>
          <w:rFonts w:hint="eastAsia" w:ascii="仿宋_GB2312" w:hAnsi="仿宋_GB2312" w:eastAsia="仿宋_GB2312" w:cs="仿宋_GB2312"/>
          <w:sz w:val="32"/>
          <w:szCs w:val="40"/>
          <w:lang w:val="en-US" w:eastAsia="zh-CN"/>
        </w:rPr>
        <w:t>针对看病难、看病贵问题，加快全区医疗体系建设，深入推进“1+7+13”医院建设，加快推进阿里地区人民医院创建“三甲”步伐;</w:t>
      </w:r>
      <w:r>
        <w:rPr>
          <w:rFonts w:hint="eastAsia" w:ascii="仿宋_GB2312" w:hAnsi="仿宋_GB2312" w:eastAsia="仿宋_GB2312" w:cs="仿宋_GB2312"/>
          <w:b/>
          <w:bCs/>
          <w:sz w:val="32"/>
          <w:szCs w:val="40"/>
          <w:lang w:val="en-US" w:eastAsia="zh-CN"/>
        </w:rPr>
        <w:t>二是</w:t>
      </w:r>
      <w:r>
        <w:rPr>
          <w:rFonts w:hint="eastAsia" w:ascii="仿宋_GB2312" w:hAnsi="仿宋_GB2312" w:eastAsia="仿宋_GB2312" w:cs="仿宋_GB2312"/>
          <w:sz w:val="32"/>
          <w:szCs w:val="40"/>
          <w:lang w:val="en-US" w:eastAsia="zh-CN"/>
        </w:rPr>
        <w:t>针对高原严重危害干部群众健康因素，每年为群众进行一次健康体检;</w:t>
      </w:r>
      <w:r>
        <w:rPr>
          <w:rFonts w:hint="eastAsia" w:ascii="仿宋_GB2312" w:hAnsi="仿宋_GB2312" w:eastAsia="仿宋_GB2312" w:cs="仿宋_GB2312"/>
          <w:b/>
          <w:bCs/>
          <w:sz w:val="32"/>
          <w:szCs w:val="40"/>
          <w:lang w:val="en-US" w:eastAsia="zh-CN"/>
        </w:rPr>
        <w:t>三是</w:t>
      </w:r>
      <w:r>
        <w:rPr>
          <w:rFonts w:hint="eastAsia" w:ascii="仿宋_GB2312" w:hAnsi="仿宋_GB2312" w:eastAsia="仿宋_GB2312" w:cs="仿宋_GB2312"/>
          <w:sz w:val="32"/>
          <w:szCs w:val="40"/>
          <w:lang w:val="en-US" w:eastAsia="zh-CN"/>
        </w:rPr>
        <w:t>针对包虫病、大骨节病等地方病实现“双消除”;</w:t>
      </w:r>
      <w:r>
        <w:rPr>
          <w:rFonts w:hint="eastAsia" w:ascii="仿宋_GB2312" w:hAnsi="仿宋_GB2312" w:eastAsia="仿宋_GB2312" w:cs="仿宋_GB2312"/>
          <w:b/>
          <w:bCs/>
          <w:sz w:val="32"/>
          <w:szCs w:val="40"/>
          <w:lang w:val="en-US" w:eastAsia="zh-CN"/>
        </w:rPr>
        <w:t>四是</w:t>
      </w:r>
      <w:r>
        <w:rPr>
          <w:rFonts w:hint="eastAsia" w:ascii="仿宋_GB2312" w:hAnsi="仿宋_GB2312" w:eastAsia="仿宋_GB2312" w:cs="仿宋_GB2312"/>
          <w:sz w:val="32"/>
          <w:szCs w:val="40"/>
          <w:lang w:val="en-US" w:eastAsia="zh-CN"/>
        </w:rPr>
        <w:t>针对儿童先心病和农牧民群众白内障多发的情况，力争绝大多数患者在本地得到救治;</w:t>
      </w:r>
      <w:r>
        <w:rPr>
          <w:rFonts w:hint="eastAsia" w:ascii="仿宋_GB2312" w:hAnsi="仿宋_GB2312" w:eastAsia="仿宋_GB2312" w:cs="仿宋_GB2312"/>
          <w:b/>
          <w:bCs/>
          <w:sz w:val="32"/>
          <w:szCs w:val="40"/>
          <w:lang w:val="en-US" w:eastAsia="zh-CN"/>
        </w:rPr>
        <w:t>五是</w:t>
      </w:r>
      <w:r>
        <w:rPr>
          <w:rFonts w:hint="eastAsia" w:ascii="仿宋_GB2312" w:hAnsi="仿宋_GB2312" w:eastAsia="仿宋_GB2312" w:cs="仿宋_GB2312"/>
          <w:sz w:val="32"/>
          <w:szCs w:val="40"/>
          <w:lang w:val="en-US" w:eastAsia="zh-CN"/>
        </w:rPr>
        <w:t>针对容易引发高原病等情况，努力调整种养业结构，制定合理的饮食营养指南，推动农牧民群众养成良好的饮食习惯，提高健康素养。</w:t>
      </w:r>
    </w:p>
    <w:p w14:paraId="2E81C64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黑体" w:hAnsi="黑体" w:eastAsia="黑体" w:cs="黑体"/>
          <w:sz w:val="32"/>
          <w:szCs w:val="40"/>
          <w:lang w:val="en-US" w:eastAsia="zh-CN"/>
        </w:rPr>
        <w:t>三十、“无废城市”：</w:t>
      </w:r>
      <w:r>
        <w:rPr>
          <w:rFonts w:hint="eastAsia" w:ascii="仿宋_GB2312" w:hAnsi="仿宋_GB2312" w:eastAsia="仿宋_GB2312" w:cs="仿宋_GB2312"/>
          <w:sz w:val="32"/>
          <w:szCs w:val="40"/>
          <w:lang w:val="en-US" w:eastAsia="zh-CN"/>
        </w:rPr>
        <w:t>“无废城市”是一个旨在通过创新、协调、绿色、开放、共享的新发展理念，推动形成绿色发展方式和生活方式的城市发展模式。它主要聚焦于固体废物的管理，目的是最大限度地减少固体废物的产生和填埋量，从而降低固体废物对环境的影响。</w:t>
      </w:r>
    </w:p>
    <w:p w14:paraId="2835779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黑体" w:hAnsi="黑体" w:eastAsia="黑体" w:cs="黑体"/>
          <w:sz w:val="32"/>
          <w:szCs w:val="40"/>
          <w:lang w:val="en-US" w:eastAsia="zh-CN"/>
        </w:rPr>
        <w:t>三十一、“七项机制”：</w:t>
      </w:r>
      <w:r>
        <w:rPr>
          <w:rFonts w:hint="eastAsia" w:ascii="仿宋_GB2312" w:hAnsi="仿宋_GB2312" w:eastAsia="仿宋_GB2312" w:cs="仿宋_GB2312"/>
          <w:sz w:val="32"/>
          <w:szCs w:val="40"/>
          <w:lang w:val="en-US" w:eastAsia="zh-CN"/>
        </w:rPr>
        <w:t>农场品贸易与生产协调机制、粮食和食物节约长效机制、农村防止返贫致贫机制和低收入人口、欠发达地区分层分类帮扶制度、脱贫攻坚国家投入形成资产长效管理机制、富民产业联农带农机制、乡村振兴投融资机制、乡村人才培育和发展机制。</w:t>
      </w:r>
    </w:p>
    <w:p w14:paraId="05C9B5DA">
      <w:pPr>
        <w:pStyle w:val="2"/>
      </w:pPr>
    </w:p>
    <w:sectPr>
      <w:headerReference r:id="rId3" w:type="first"/>
      <w:footerReference r:id="rId5" w:type="first"/>
      <w:footerReference r:id="rId4" w:type="default"/>
      <w:pgSz w:w="11906" w:h="16838"/>
      <w:pgMar w:top="2098" w:right="1474" w:bottom="1984" w:left="1587" w:header="851" w:footer="992" w:gutter="0"/>
      <w:pgNumType w:fmt="decimal"/>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8F514C">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BD04222">
                          <w:pPr>
                            <w:pStyle w:val="4"/>
                            <w:rPr>
                              <w:rFonts w:hint="eastAsia" w:ascii="仿宋" w:hAnsi="仿宋" w:eastAsia="仿宋" w:cs="仿宋"/>
                              <w:sz w:val="30"/>
                              <w:szCs w:val="30"/>
                            </w:rPr>
                          </w:pPr>
                          <w:r>
                            <w:rPr>
                              <w:rFonts w:hint="eastAsia" w:ascii="仿宋" w:hAnsi="仿宋" w:eastAsia="仿宋" w:cs="仿宋"/>
                              <w:sz w:val="30"/>
                              <w:szCs w:val="30"/>
                            </w:rPr>
                            <w:t xml:space="preserve">— </w:t>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  \* MERGEFORMAT </w:instrText>
                          </w:r>
                          <w:r>
                            <w:rPr>
                              <w:rFonts w:hint="eastAsia" w:ascii="仿宋" w:hAnsi="仿宋" w:eastAsia="仿宋" w:cs="仿宋"/>
                              <w:sz w:val="30"/>
                              <w:szCs w:val="30"/>
                            </w:rPr>
                            <w:fldChar w:fldCharType="separate"/>
                          </w:r>
                          <w:r>
                            <w:rPr>
                              <w:rFonts w:hint="eastAsia" w:ascii="仿宋" w:hAnsi="仿宋" w:eastAsia="仿宋" w:cs="仿宋"/>
                              <w:sz w:val="30"/>
                              <w:szCs w:val="30"/>
                            </w:rPr>
                            <w:t>- 2 -</w:t>
                          </w:r>
                          <w:r>
                            <w:rPr>
                              <w:rFonts w:hint="eastAsia" w:ascii="仿宋" w:hAnsi="仿宋" w:eastAsia="仿宋" w:cs="仿宋"/>
                              <w:sz w:val="30"/>
                              <w:szCs w:val="30"/>
                            </w:rPr>
                            <w:fldChar w:fldCharType="end"/>
                          </w:r>
                          <w:r>
                            <w:rPr>
                              <w:rFonts w:hint="eastAsia" w:ascii="仿宋" w:hAnsi="仿宋" w:eastAsia="仿宋" w:cs="仿宋"/>
                              <w:sz w:val="30"/>
                              <w:szCs w:val="30"/>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5BD04222">
                    <w:pPr>
                      <w:pStyle w:val="4"/>
                      <w:rPr>
                        <w:rFonts w:hint="eastAsia" w:ascii="仿宋" w:hAnsi="仿宋" w:eastAsia="仿宋" w:cs="仿宋"/>
                        <w:sz w:val="30"/>
                        <w:szCs w:val="30"/>
                      </w:rPr>
                    </w:pPr>
                    <w:r>
                      <w:rPr>
                        <w:rFonts w:hint="eastAsia" w:ascii="仿宋" w:hAnsi="仿宋" w:eastAsia="仿宋" w:cs="仿宋"/>
                        <w:sz w:val="30"/>
                        <w:szCs w:val="30"/>
                      </w:rPr>
                      <w:t xml:space="preserve">— </w:t>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  \* MERGEFORMAT </w:instrText>
                    </w:r>
                    <w:r>
                      <w:rPr>
                        <w:rFonts w:hint="eastAsia" w:ascii="仿宋" w:hAnsi="仿宋" w:eastAsia="仿宋" w:cs="仿宋"/>
                        <w:sz w:val="30"/>
                        <w:szCs w:val="30"/>
                      </w:rPr>
                      <w:fldChar w:fldCharType="separate"/>
                    </w:r>
                    <w:r>
                      <w:rPr>
                        <w:rFonts w:hint="eastAsia" w:ascii="仿宋" w:hAnsi="仿宋" w:eastAsia="仿宋" w:cs="仿宋"/>
                        <w:sz w:val="30"/>
                        <w:szCs w:val="30"/>
                      </w:rPr>
                      <w:t>- 2 -</w:t>
                    </w:r>
                    <w:r>
                      <w:rPr>
                        <w:rFonts w:hint="eastAsia" w:ascii="仿宋" w:hAnsi="仿宋" w:eastAsia="仿宋" w:cs="仿宋"/>
                        <w:sz w:val="30"/>
                        <w:szCs w:val="30"/>
                      </w:rPr>
                      <w:fldChar w:fldCharType="end"/>
                    </w:r>
                    <w:r>
                      <w:rPr>
                        <w:rFonts w:hint="eastAsia" w:ascii="仿宋" w:hAnsi="仿宋" w:eastAsia="仿宋" w:cs="仿宋"/>
                        <w:sz w:val="30"/>
                        <w:szCs w:val="30"/>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A75A1E">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643F6F">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7643F6F">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DA594A">
    <w:pPr>
      <w:keepNext w:val="0"/>
      <w:keepLines w:val="0"/>
      <w:pageBreakBefore w:val="0"/>
      <w:widowControl w:val="0"/>
      <w:pBdr>
        <w:bottom w:val="none" w:color="auto" w:sz="0" w:space="0"/>
      </w:pBdr>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eastAsia="楷体_GB2312"/>
        <w:sz w:val="28"/>
        <w:lang w:eastAsia="zh-CN"/>
      </w:rPr>
    </w:pPr>
    <w:r>
      <w:rPr>
        <w:rFonts w:hint="eastAsia" w:eastAsia="楷体_GB2312"/>
        <w:sz w:val="28"/>
        <w:lang w:eastAsia="zh-CN"/>
      </w:rPr>
      <w:t>八宿县</w:t>
    </w:r>
    <w:r>
      <w:rPr>
        <w:rFonts w:hint="eastAsia" w:eastAsia="楷体_GB2312"/>
        <w:sz w:val="28"/>
      </w:rPr>
      <w:t>十</w:t>
    </w:r>
    <w:r>
      <w:rPr>
        <w:rFonts w:hint="eastAsia" w:eastAsia="楷体_GB2312"/>
        <w:sz w:val="28"/>
        <w:lang w:eastAsia="zh-CN"/>
      </w:rPr>
      <w:t>三</w:t>
    </w:r>
    <w:r>
      <w:rPr>
        <w:rFonts w:hint="eastAsia" w:eastAsia="楷体_GB2312"/>
        <w:sz w:val="28"/>
      </w:rPr>
      <w:t>届</w:t>
    </w:r>
    <w:r>
      <w:rPr>
        <w:rFonts w:hint="eastAsia" w:eastAsia="楷体_GB2312"/>
        <w:sz w:val="28"/>
        <w:lang w:eastAsia="zh-CN"/>
      </w:rPr>
      <w:t>人民代表</w:t>
    </w:r>
  </w:p>
  <w:p w14:paraId="5521245E">
    <w:pPr>
      <w:keepNext w:val="0"/>
      <w:keepLines w:val="0"/>
      <w:pageBreakBefore w:val="0"/>
      <w:widowControl w:val="0"/>
      <w:pBdr>
        <w:bottom w:val="none" w:color="auto" w:sz="0" w:space="0"/>
      </w:pBdr>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方正小标宋简体" w:hAnsi="方正小标宋简体" w:eastAsia="方正小标宋简体" w:cs="方正小标宋简体"/>
        <w:sz w:val="44"/>
        <w:szCs w:val="44"/>
      </w:rPr>
    </w:pPr>
    <w:r>
      <w:rPr>
        <w:rFonts w:hint="eastAsia" w:eastAsia="楷体_GB2312"/>
        <w:sz w:val="28"/>
        <w:lang w:eastAsia="zh-CN"/>
      </w:rPr>
      <w:t>大会第六次会议</w:t>
    </w:r>
    <w:r>
      <w:rPr>
        <w:rFonts w:hint="eastAsia" w:eastAsia="楷体_GB2312"/>
        <w:sz w:val="28"/>
      </w:rPr>
      <w:t>文件（</w:t>
    </w:r>
    <w:r>
      <w:rPr>
        <w:rFonts w:hint="eastAsia" w:eastAsia="楷体_GB2312"/>
        <w:sz w:val="28"/>
        <w:lang w:val="en-US" w:eastAsia="zh-CN"/>
      </w:rPr>
      <w:t>7</w:t>
    </w:r>
    <w:r>
      <w:rPr>
        <w:rFonts w:hint="eastAsia" w:eastAsia="楷体_GB2312"/>
        <w:sz w:val="28"/>
      </w:rPr>
      <w:t>）</w:t>
    </w:r>
  </w:p>
  <w:p w14:paraId="4B84A6F6">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974FFC"/>
    <w:rsid w:val="0127533C"/>
    <w:rsid w:val="016F283F"/>
    <w:rsid w:val="018B2118"/>
    <w:rsid w:val="01D134FA"/>
    <w:rsid w:val="01DF19B7"/>
    <w:rsid w:val="036D7252"/>
    <w:rsid w:val="03AC7D7B"/>
    <w:rsid w:val="03D1158F"/>
    <w:rsid w:val="04114082"/>
    <w:rsid w:val="04446205"/>
    <w:rsid w:val="04706FFA"/>
    <w:rsid w:val="051C4A8C"/>
    <w:rsid w:val="054A784B"/>
    <w:rsid w:val="05720B50"/>
    <w:rsid w:val="06231E4A"/>
    <w:rsid w:val="06304C93"/>
    <w:rsid w:val="066C7717"/>
    <w:rsid w:val="070B4DB8"/>
    <w:rsid w:val="077F1302"/>
    <w:rsid w:val="079C0106"/>
    <w:rsid w:val="089B03BE"/>
    <w:rsid w:val="08C16076"/>
    <w:rsid w:val="08C23B9D"/>
    <w:rsid w:val="09AF2373"/>
    <w:rsid w:val="0A2148F3"/>
    <w:rsid w:val="0A4E393A"/>
    <w:rsid w:val="0A6C3DC0"/>
    <w:rsid w:val="0B867103"/>
    <w:rsid w:val="0BBF43C3"/>
    <w:rsid w:val="0BE04A65"/>
    <w:rsid w:val="0C1A784C"/>
    <w:rsid w:val="0C811679"/>
    <w:rsid w:val="0CCF6888"/>
    <w:rsid w:val="0D8853B5"/>
    <w:rsid w:val="0E9E29B6"/>
    <w:rsid w:val="0EEA79A9"/>
    <w:rsid w:val="0F6E2388"/>
    <w:rsid w:val="0FF24D67"/>
    <w:rsid w:val="11AC0F46"/>
    <w:rsid w:val="11D34725"/>
    <w:rsid w:val="12045226"/>
    <w:rsid w:val="12174F59"/>
    <w:rsid w:val="12CD5618"/>
    <w:rsid w:val="12E017EF"/>
    <w:rsid w:val="1324792E"/>
    <w:rsid w:val="13385187"/>
    <w:rsid w:val="134A6C68"/>
    <w:rsid w:val="14237BE5"/>
    <w:rsid w:val="14DC5FE6"/>
    <w:rsid w:val="1594066F"/>
    <w:rsid w:val="15C471A6"/>
    <w:rsid w:val="16500A3A"/>
    <w:rsid w:val="168C1346"/>
    <w:rsid w:val="17B44FF8"/>
    <w:rsid w:val="17E256C1"/>
    <w:rsid w:val="188D7D23"/>
    <w:rsid w:val="18A8690B"/>
    <w:rsid w:val="19C239FC"/>
    <w:rsid w:val="1A862C7C"/>
    <w:rsid w:val="1A8B0292"/>
    <w:rsid w:val="1AA80E44"/>
    <w:rsid w:val="1AF220BF"/>
    <w:rsid w:val="1B334486"/>
    <w:rsid w:val="1CA67605"/>
    <w:rsid w:val="1D0D1432"/>
    <w:rsid w:val="1D251874"/>
    <w:rsid w:val="1D440BCC"/>
    <w:rsid w:val="1D4809E3"/>
    <w:rsid w:val="1DAD0520"/>
    <w:rsid w:val="1DCD0BC2"/>
    <w:rsid w:val="1E1B192D"/>
    <w:rsid w:val="1E4A0464"/>
    <w:rsid w:val="1E594203"/>
    <w:rsid w:val="1E6908EA"/>
    <w:rsid w:val="20621A95"/>
    <w:rsid w:val="21CA5B44"/>
    <w:rsid w:val="21DE514B"/>
    <w:rsid w:val="227855A0"/>
    <w:rsid w:val="229E0D7F"/>
    <w:rsid w:val="23111551"/>
    <w:rsid w:val="235D02F2"/>
    <w:rsid w:val="2393640A"/>
    <w:rsid w:val="23955CDE"/>
    <w:rsid w:val="23D031BA"/>
    <w:rsid w:val="23FA0237"/>
    <w:rsid w:val="24653902"/>
    <w:rsid w:val="247C0C4C"/>
    <w:rsid w:val="24EE7D9B"/>
    <w:rsid w:val="25034EC9"/>
    <w:rsid w:val="254C061E"/>
    <w:rsid w:val="25974FFC"/>
    <w:rsid w:val="25DC5E46"/>
    <w:rsid w:val="25FC2044"/>
    <w:rsid w:val="2637307C"/>
    <w:rsid w:val="268B161A"/>
    <w:rsid w:val="274E4B21"/>
    <w:rsid w:val="287E31E4"/>
    <w:rsid w:val="295126A7"/>
    <w:rsid w:val="298E7457"/>
    <w:rsid w:val="29BB3FC4"/>
    <w:rsid w:val="2A3224D8"/>
    <w:rsid w:val="2ADB2B70"/>
    <w:rsid w:val="2C0734F1"/>
    <w:rsid w:val="2C550700"/>
    <w:rsid w:val="2DCF44E2"/>
    <w:rsid w:val="2E474078"/>
    <w:rsid w:val="2EBF4557"/>
    <w:rsid w:val="2F713AA3"/>
    <w:rsid w:val="2FED29FE"/>
    <w:rsid w:val="30164F71"/>
    <w:rsid w:val="30843362"/>
    <w:rsid w:val="308B46F0"/>
    <w:rsid w:val="31807FCD"/>
    <w:rsid w:val="3216623C"/>
    <w:rsid w:val="339E473B"/>
    <w:rsid w:val="34565015"/>
    <w:rsid w:val="34675474"/>
    <w:rsid w:val="34847DD4"/>
    <w:rsid w:val="348E47AF"/>
    <w:rsid w:val="34BB30CA"/>
    <w:rsid w:val="34EB7E53"/>
    <w:rsid w:val="353335A8"/>
    <w:rsid w:val="35D703D8"/>
    <w:rsid w:val="36266C69"/>
    <w:rsid w:val="36625EF3"/>
    <w:rsid w:val="366559E4"/>
    <w:rsid w:val="36C3270A"/>
    <w:rsid w:val="370A0339"/>
    <w:rsid w:val="377A726D"/>
    <w:rsid w:val="37983B97"/>
    <w:rsid w:val="382A0C93"/>
    <w:rsid w:val="38966328"/>
    <w:rsid w:val="390F1C37"/>
    <w:rsid w:val="391F631E"/>
    <w:rsid w:val="39570F7F"/>
    <w:rsid w:val="398B5761"/>
    <w:rsid w:val="39F74BA5"/>
    <w:rsid w:val="39F8091D"/>
    <w:rsid w:val="3A2A31CC"/>
    <w:rsid w:val="3AAF547F"/>
    <w:rsid w:val="3AC4344A"/>
    <w:rsid w:val="3AF13CEA"/>
    <w:rsid w:val="3B5878C5"/>
    <w:rsid w:val="3B783AC3"/>
    <w:rsid w:val="3BEE0229"/>
    <w:rsid w:val="3C177780"/>
    <w:rsid w:val="3C291261"/>
    <w:rsid w:val="3CCA65A0"/>
    <w:rsid w:val="3D483969"/>
    <w:rsid w:val="3D6C58AA"/>
    <w:rsid w:val="3DE9514C"/>
    <w:rsid w:val="3E246184"/>
    <w:rsid w:val="3E43485C"/>
    <w:rsid w:val="3E6D18D9"/>
    <w:rsid w:val="3F395C5F"/>
    <w:rsid w:val="3F744EE9"/>
    <w:rsid w:val="3F84512C"/>
    <w:rsid w:val="3FE756BB"/>
    <w:rsid w:val="4004626D"/>
    <w:rsid w:val="40DA0D7C"/>
    <w:rsid w:val="40F7192E"/>
    <w:rsid w:val="410D2F00"/>
    <w:rsid w:val="41197AF6"/>
    <w:rsid w:val="415741C4"/>
    <w:rsid w:val="41CC2DBB"/>
    <w:rsid w:val="424C7A58"/>
    <w:rsid w:val="42997141"/>
    <w:rsid w:val="42FE51F6"/>
    <w:rsid w:val="434150E2"/>
    <w:rsid w:val="4391606A"/>
    <w:rsid w:val="43A35D9D"/>
    <w:rsid w:val="449A2CFC"/>
    <w:rsid w:val="45244CBC"/>
    <w:rsid w:val="45FB3C6E"/>
    <w:rsid w:val="46D85D5E"/>
    <w:rsid w:val="46E22739"/>
    <w:rsid w:val="47044DA5"/>
    <w:rsid w:val="47CF53B3"/>
    <w:rsid w:val="47EF335F"/>
    <w:rsid w:val="489F4D85"/>
    <w:rsid w:val="490B241B"/>
    <w:rsid w:val="49153299"/>
    <w:rsid w:val="491A08B0"/>
    <w:rsid w:val="49B303BC"/>
    <w:rsid w:val="49B93C25"/>
    <w:rsid w:val="49F7299F"/>
    <w:rsid w:val="4A431740"/>
    <w:rsid w:val="4B9761E7"/>
    <w:rsid w:val="4BFF5B3B"/>
    <w:rsid w:val="4D3D4B6D"/>
    <w:rsid w:val="4D987BB9"/>
    <w:rsid w:val="4DBC1FAA"/>
    <w:rsid w:val="4E740A62"/>
    <w:rsid w:val="4E9B1B4B"/>
    <w:rsid w:val="4EF83441"/>
    <w:rsid w:val="4F196F13"/>
    <w:rsid w:val="4F2E29BF"/>
    <w:rsid w:val="4F583EE0"/>
    <w:rsid w:val="4FA111CB"/>
    <w:rsid w:val="4FCE41A2"/>
    <w:rsid w:val="50033E4B"/>
    <w:rsid w:val="50081462"/>
    <w:rsid w:val="5012408F"/>
    <w:rsid w:val="502E69EF"/>
    <w:rsid w:val="50D37CC2"/>
    <w:rsid w:val="50DB0924"/>
    <w:rsid w:val="51146D63"/>
    <w:rsid w:val="51256043"/>
    <w:rsid w:val="51B64EEE"/>
    <w:rsid w:val="521F6F37"/>
    <w:rsid w:val="526D7CA2"/>
    <w:rsid w:val="529E1C09"/>
    <w:rsid w:val="52AD4542"/>
    <w:rsid w:val="52DB10B0"/>
    <w:rsid w:val="537868FE"/>
    <w:rsid w:val="53B84F4D"/>
    <w:rsid w:val="53D01F4A"/>
    <w:rsid w:val="54802CFF"/>
    <w:rsid w:val="548968E9"/>
    <w:rsid w:val="54A11E85"/>
    <w:rsid w:val="55045A6E"/>
    <w:rsid w:val="55886BA1"/>
    <w:rsid w:val="564927D4"/>
    <w:rsid w:val="56A17F1A"/>
    <w:rsid w:val="571C3A45"/>
    <w:rsid w:val="574F3E1A"/>
    <w:rsid w:val="58262DCD"/>
    <w:rsid w:val="5889335C"/>
    <w:rsid w:val="59101387"/>
    <w:rsid w:val="59154BEF"/>
    <w:rsid w:val="593908DE"/>
    <w:rsid w:val="594B23BF"/>
    <w:rsid w:val="5A184997"/>
    <w:rsid w:val="5A355549"/>
    <w:rsid w:val="5A581238"/>
    <w:rsid w:val="5AF727FF"/>
    <w:rsid w:val="5BF1724E"/>
    <w:rsid w:val="5C8207EE"/>
    <w:rsid w:val="5D2C42B6"/>
    <w:rsid w:val="5ECE7D1A"/>
    <w:rsid w:val="5F6441DB"/>
    <w:rsid w:val="6022031E"/>
    <w:rsid w:val="603441C9"/>
    <w:rsid w:val="6098238E"/>
    <w:rsid w:val="609A4358"/>
    <w:rsid w:val="60EC6236"/>
    <w:rsid w:val="60FA6BA5"/>
    <w:rsid w:val="617A1A94"/>
    <w:rsid w:val="61A92379"/>
    <w:rsid w:val="6200643D"/>
    <w:rsid w:val="621F43E9"/>
    <w:rsid w:val="629848C7"/>
    <w:rsid w:val="63027F93"/>
    <w:rsid w:val="63620A31"/>
    <w:rsid w:val="64283A29"/>
    <w:rsid w:val="655C6080"/>
    <w:rsid w:val="65D73958"/>
    <w:rsid w:val="665705F5"/>
    <w:rsid w:val="667F18FA"/>
    <w:rsid w:val="6694184A"/>
    <w:rsid w:val="66DB1226"/>
    <w:rsid w:val="66FE3167"/>
    <w:rsid w:val="67334BBF"/>
    <w:rsid w:val="674E7C4A"/>
    <w:rsid w:val="678E44EB"/>
    <w:rsid w:val="68014CBD"/>
    <w:rsid w:val="6832131A"/>
    <w:rsid w:val="68B166E3"/>
    <w:rsid w:val="68CD117F"/>
    <w:rsid w:val="68F55EA4"/>
    <w:rsid w:val="694035C3"/>
    <w:rsid w:val="6949691B"/>
    <w:rsid w:val="694E2184"/>
    <w:rsid w:val="696E6382"/>
    <w:rsid w:val="69B1626F"/>
    <w:rsid w:val="6ACD532A"/>
    <w:rsid w:val="6AD77F57"/>
    <w:rsid w:val="6B4F3F91"/>
    <w:rsid w:val="6B8579B3"/>
    <w:rsid w:val="6BEC7A32"/>
    <w:rsid w:val="6C150D37"/>
    <w:rsid w:val="6C4038DA"/>
    <w:rsid w:val="6DCF760B"/>
    <w:rsid w:val="6DF130DE"/>
    <w:rsid w:val="6F541B76"/>
    <w:rsid w:val="6F547DC8"/>
    <w:rsid w:val="6FD35191"/>
    <w:rsid w:val="70673B2B"/>
    <w:rsid w:val="70AB3A18"/>
    <w:rsid w:val="70C76378"/>
    <w:rsid w:val="70DE203F"/>
    <w:rsid w:val="71031AA6"/>
    <w:rsid w:val="71092E34"/>
    <w:rsid w:val="713078BB"/>
    <w:rsid w:val="71681909"/>
    <w:rsid w:val="72BB015E"/>
    <w:rsid w:val="73EF00BF"/>
    <w:rsid w:val="740B2A1F"/>
    <w:rsid w:val="741B0EB4"/>
    <w:rsid w:val="744321B9"/>
    <w:rsid w:val="74C432FA"/>
    <w:rsid w:val="74D84FF7"/>
    <w:rsid w:val="758D193E"/>
    <w:rsid w:val="75B90985"/>
    <w:rsid w:val="75BC66C7"/>
    <w:rsid w:val="75FB0F9D"/>
    <w:rsid w:val="76261D92"/>
    <w:rsid w:val="76424E1E"/>
    <w:rsid w:val="76654669"/>
    <w:rsid w:val="769D2054"/>
    <w:rsid w:val="76BB697E"/>
    <w:rsid w:val="76CE0460"/>
    <w:rsid w:val="777F175A"/>
    <w:rsid w:val="785D5F3F"/>
    <w:rsid w:val="786F5C73"/>
    <w:rsid w:val="78713799"/>
    <w:rsid w:val="79B80F53"/>
    <w:rsid w:val="79C124FE"/>
    <w:rsid w:val="7A3727C0"/>
    <w:rsid w:val="7A3C3932"/>
    <w:rsid w:val="7ACC2F08"/>
    <w:rsid w:val="7B51165F"/>
    <w:rsid w:val="7B564EC8"/>
    <w:rsid w:val="7C354ADD"/>
    <w:rsid w:val="7C417926"/>
    <w:rsid w:val="7C5C650E"/>
    <w:rsid w:val="7C6929D9"/>
    <w:rsid w:val="7CFE1373"/>
    <w:rsid w:val="7DB87774"/>
    <w:rsid w:val="7DC66335"/>
    <w:rsid w:val="7EAA17B2"/>
    <w:rsid w:val="7EAB552B"/>
    <w:rsid w:val="7EEF71C5"/>
    <w:rsid w:val="7F62208D"/>
    <w:rsid w:val="7F914720"/>
    <w:rsid w:val="7FB328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next w:val="1"/>
    <w:qFormat/>
    <w:uiPriority w:val="0"/>
    <w:pPr>
      <w:widowControl w:val="0"/>
      <w:topLinePunct/>
      <w:ind w:firstLine="573"/>
      <w:jc w:val="both"/>
    </w:pPr>
    <w:rPr>
      <w:rFonts w:asciiTheme="minorHAnsi" w:hAnsiTheme="minorHAnsi" w:eastAsiaTheme="minorEastAsia" w:cstheme="minorBidi"/>
      <w:kern w:val="21"/>
      <w:sz w:val="28"/>
      <w:szCs w:val="24"/>
      <w:lang w:val="en-US" w:eastAsia="zh-CN" w:bidi="ar-SA"/>
    </w:rPr>
  </w:style>
  <w:style w:type="paragraph" w:styleId="3">
    <w:name w:val="Body Text"/>
    <w:qFormat/>
    <w:uiPriority w:val="0"/>
    <w:pPr>
      <w:widowControl w:val="0"/>
      <w:spacing w:afterLines="0" w:afterAutospacing="0"/>
      <w:jc w:val="both"/>
    </w:pPr>
    <w:rPr>
      <w:rFonts w:ascii="仿宋" w:hAnsi="仿宋" w:eastAsia="宋体" w:cs="Times New Roman"/>
      <w:kern w:val="2"/>
      <w:sz w:val="21"/>
      <w:szCs w:val="24"/>
      <w:lang w:val="en-US" w:eastAsia="zh-CN" w:bidi="ar-SA"/>
    </w:rPr>
  </w:style>
  <w:style w:type="paragraph" w:styleId="4">
    <w:name w:val="footer"/>
    <w:qFormat/>
    <w:uiPriority w:val="0"/>
    <w:pPr>
      <w:widowControl w:val="0"/>
      <w:tabs>
        <w:tab w:val="center" w:pos="4153"/>
        <w:tab w:val="right" w:pos="8306"/>
      </w:tabs>
      <w:snapToGrid w:val="0"/>
      <w:jc w:val="left"/>
    </w:pPr>
    <w:rPr>
      <w:rFonts w:ascii="Calibri" w:hAnsi="Calibri" w:eastAsia="宋体" w:cs="Times New Roman"/>
      <w:kern w:val="2"/>
      <w:sz w:val="18"/>
      <w:szCs w:val="24"/>
      <w:lang w:val="en-US" w:eastAsia="zh-CN" w:bidi="ar-SA"/>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13914</Words>
  <Characters>14297</Characters>
  <Lines>0</Lines>
  <Paragraphs>0</Paragraphs>
  <TotalTime>30</TotalTime>
  <ScaleCrop>false</ScaleCrop>
  <LinksUpToDate>false</LinksUpToDate>
  <CharactersWithSpaces>14307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2025-03-24T09:48:00Z</dcterms:created>
  <dc:creator>忠用</dc:creator>
  <cp:lastModifiedBy>忠用</cp:lastModifiedBy>
  <cp:lastPrinted>2025-03-27T02:17:00Z</cp:lastPrinted>
  <dcterms:modified xsi:type="dcterms:W3CDTF">2025-04-01T04:50:34Z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7689B70F1A214CE8A422BF24C8978F1A_11</vt:lpwstr>
  </property>
  <property fmtid="{D5CDD505-2E9C-101B-9397-08002B2CF9AE}" pid="4" name="KSOTemplateDocerSaveRecord">
    <vt:lpwstr>eyJoZGlkIjoiNzQ1YTc5MTBiZTI1MDVmMzA1NTJjNGU1MDc5NTNmMGIiLCJ1c2VySWQiOiI0MDA4MjI4NTIifQ==</vt:lpwstr>
  </property>
</Properties>
</file>