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adjustRightInd w:val="0"/>
        <w:snapToGrid w:val="0"/>
        <w:spacing w:line="592"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lang w:val="en-US" w:eastAsia="zh-CN"/>
        </w:rPr>
        <w:t>八宿县</w:t>
      </w:r>
      <w:r>
        <w:rPr>
          <w:rFonts w:hint="eastAsia" w:ascii="方正小标宋简体" w:hAnsi="方正小标宋_GBK" w:eastAsia="方正小标宋简体" w:cs="方正小标宋_GBK"/>
          <w:color w:val="000000"/>
          <w:sz w:val="44"/>
          <w:szCs w:val="44"/>
        </w:rPr>
        <w:t>应急管理系统监管领域安全生产行政执法“轻微不罚、首违免罚”</w:t>
      </w:r>
    </w:p>
    <w:p>
      <w:pPr>
        <w:adjustRightInd w:val="0"/>
        <w:snapToGrid w:val="0"/>
        <w:spacing w:line="592" w:lineRule="exact"/>
        <w:jc w:val="center"/>
        <w:rPr>
          <w:rFonts w:eastAsia="方正小标宋简体"/>
        </w:rPr>
      </w:pPr>
      <w:r>
        <w:rPr>
          <w:rFonts w:hint="eastAsia" w:ascii="方正小标宋简体" w:hAnsi="方正小标宋_GBK" w:eastAsia="方正小标宋简体" w:cs="方正小标宋_GBK"/>
          <w:color w:val="000000"/>
          <w:sz w:val="44"/>
          <w:szCs w:val="44"/>
        </w:rPr>
        <w:t>事项清单（试行）</w:t>
      </w:r>
    </w:p>
    <w:p>
      <w:pPr>
        <w:pStyle w:val="3"/>
        <w:spacing w:line="240" w:lineRule="exact"/>
        <w:rPr>
          <w:color w:val="000000"/>
          <w:sz w:val="32"/>
          <w:szCs w:val="32"/>
        </w:rPr>
      </w:pPr>
    </w:p>
    <w:tbl>
      <w:tblPr>
        <w:tblStyle w:val="8"/>
        <w:tblW w:w="14916" w:type="dxa"/>
        <w:jc w:val="center"/>
        <w:tblLayout w:type="fixed"/>
        <w:tblCellMar>
          <w:top w:w="0" w:type="dxa"/>
          <w:left w:w="0" w:type="dxa"/>
          <w:bottom w:w="0" w:type="dxa"/>
          <w:right w:w="0" w:type="dxa"/>
        </w:tblCellMar>
      </w:tblPr>
      <w:tblGrid>
        <w:gridCol w:w="771"/>
        <w:gridCol w:w="2220"/>
        <w:gridCol w:w="3980"/>
        <w:gridCol w:w="1920"/>
        <w:gridCol w:w="3090"/>
        <w:gridCol w:w="2055"/>
        <w:gridCol w:w="880"/>
      </w:tblGrid>
      <w:tr>
        <w:tblPrEx>
          <w:tblCellMar>
            <w:top w:w="0" w:type="dxa"/>
            <w:left w:w="0" w:type="dxa"/>
            <w:bottom w:w="0" w:type="dxa"/>
            <w:right w:w="0" w:type="dxa"/>
          </w:tblCellMar>
        </w:tblPrEx>
        <w:trPr>
          <w:trHeight w:val="454" w:hRule="atLeast"/>
          <w:tblHeader/>
          <w:jc w:val="center"/>
        </w:trPr>
        <w:tc>
          <w:tcPr>
            <w:tcW w:w="77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Fonts w:ascii="黑体" w:hAnsi="黑体" w:eastAsia="黑体"/>
                <w:bCs/>
                <w:color w:val="000000"/>
              </w:rPr>
            </w:pPr>
            <w:r>
              <w:rPr>
                <w:rStyle w:val="10"/>
                <w:rFonts w:hint="eastAsia" w:ascii="黑体" w:hAnsi="黑体" w:eastAsia="黑体" w:cs="黑体"/>
                <w:b w:val="0"/>
                <w:bCs/>
                <w:color w:val="000000"/>
              </w:rPr>
              <w:t>序号</w:t>
            </w:r>
          </w:p>
        </w:tc>
        <w:tc>
          <w:tcPr>
            <w:tcW w:w="2220" w:type="dxa"/>
            <w:tcBorders>
              <w:top w:val="single" w:color="auto" w:sz="6" w:space="0"/>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Fonts w:ascii="黑体" w:hAnsi="黑体" w:eastAsia="黑体"/>
                <w:bCs/>
                <w:color w:val="000000"/>
              </w:rPr>
            </w:pPr>
            <w:r>
              <w:rPr>
                <w:rStyle w:val="10"/>
                <w:rFonts w:hint="eastAsia" w:ascii="黑体" w:hAnsi="黑体" w:eastAsia="黑体" w:cs="黑体"/>
                <w:b w:val="0"/>
                <w:bCs/>
                <w:color w:val="000000"/>
              </w:rPr>
              <w:t>违法事项名称</w:t>
            </w:r>
          </w:p>
        </w:tc>
        <w:tc>
          <w:tcPr>
            <w:tcW w:w="3980" w:type="dxa"/>
            <w:tcBorders>
              <w:top w:val="single" w:color="auto" w:sz="6" w:space="0"/>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ascii="黑体" w:hAnsi="黑体" w:eastAsia="黑体" w:cs="黑体"/>
                <w:b w:val="0"/>
                <w:bCs/>
                <w:color w:val="000000"/>
              </w:rPr>
            </w:pPr>
            <w:r>
              <w:rPr>
                <w:rStyle w:val="10"/>
                <w:rFonts w:hint="eastAsia" w:ascii="黑体" w:hAnsi="黑体" w:eastAsia="黑体" w:cs="黑体"/>
                <w:b w:val="0"/>
                <w:bCs/>
                <w:color w:val="000000"/>
              </w:rPr>
              <w:t>执法依据</w:t>
            </w:r>
          </w:p>
        </w:tc>
        <w:tc>
          <w:tcPr>
            <w:tcW w:w="1920" w:type="dxa"/>
            <w:tcBorders>
              <w:top w:val="single" w:color="auto" w:sz="6" w:space="0"/>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Fonts w:ascii="黑体" w:hAnsi="黑体" w:eastAsia="黑体"/>
                <w:bCs/>
                <w:color w:val="000000"/>
              </w:rPr>
            </w:pPr>
            <w:r>
              <w:rPr>
                <w:rStyle w:val="10"/>
                <w:rFonts w:hint="eastAsia" w:ascii="黑体" w:hAnsi="黑体" w:eastAsia="黑体" w:cs="黑体"/>
                <w:b w:val="0"/>
                <w:bCs/>
                <w:color w:val="000000"/>
              </w:rPr>
              <w:t>不予</w:t>
            </w:r>
            <w:r>
              <w:rPr>
                <w:rStyle w:val="10"/>
                <w:rFonts w:ascii="黑体" w:hAnsi="黑体" w:eastAsia="黑体" w:cs="黑体"/>
                <w:b w:val="0"/>
                <w:bCs/>
                <w:color w:val="000000"/>
                <w:lang w:val="en"/>
              </w:rPr>
              <w:t>/</w:t>
            </w:r>
            <w:r>
              <w:rPr>
                <w:rStyle w:val="10"/>
                <w:rFonts w:hint="eastAsia" w:ascii="黑体" w:hAnsi="黑体" w:eastAsia="黑体" w:cs="黑体"/>
                <w:b w:val="0"/>
                <w:bCs/>
                <w:color w:val="000000"/>
              </w:rPr>
              <w:t>免罚的适用情形</w:t>
            </w:r>
          </w:p>
        </w:tc>
        <w:tc>
          <w:tcPr>
            <w:tcW w:w="3090" w:type="dxa"/>
            <w:tcBorders>
              <w:top w:val="single" w:color="auto" w:sz="6" w:space="0"/>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Fonts w:ascii="黑体" w:hAnsi="黑体" w:eastAsia="黑体"/>
                <w:bCs/>
                <w:color w:val="000000"/>
              </w:rPr>
            </w:pPr>
            <w:r>
              <w:rPr>
                <w:rStyle w:val="10"/>
                <w:rFonts w:hint="eastAsia" w:ascii="黑体" w:hAnsi="黑体" w:eastAsia="黑体" w:cs="黑体"/>
                <w:b w:val="0"/>
                <w:bCs/>
                <w:color w:val="000000"/>
              </w:rPr>
              <w:t>不予</w:t>
            </w:r>
            <w:r>
              <w:rPr>
                <w:rStyle w:val="10"/>
                <w:rFonts w:ascii="黑体" w:hAnsi="黑体" w:eastAsia="黑体" w:cs="黑体"/>
                <w:b w:val="0"/>
                <w:bCs/>
                <w:color w:val="000000"/>
                <w:lang w:val="en"/>
              </w:rPr>
              <w:t>/</w:t>
            </w:r>
            <w:r>
              <w:rPr>
                <w:rStyle w:val="10"/>
                <w:rFonts w:hint="eastAsia" w:ascii="黑体" w:hAnsi="黑体" w:eastAsia="黑体" w:cs="黑体"/>
                <w:b w:val="0"/>
                <w:bCs/>
                <w:color w:val="000000"/>
              </w:rPr>
              <w:t>免罚依据</w:t>
            </w:r>
          </w:p>
        </w:tc>
        <w:tc>
          <w:tcPr>
            <w:tcW w:w="2055" w:type="dxa"/>
            <w:tcBorders>
              <w:top w:val="single" w:color="auto" w:sz="6" w:space="0"/>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ascii="黑体" w:hAnsi="黑体" w:eastAsia="黑体" w:cs="黑体"/>
                <w:b w:val="0"/>
                <w:bCs/>
                <w:color w:val="000000"/>
              </w:rPr>
            </w:pPr>
            <w:r>
              <w:rPr>
                <w:rStyle w:val="10"/>
                <w:rFonts w:hint="eastAsia" w:ascii="黑体" w:hAnsi="黑体" w:eastAsia="黑体" w:cs="黑体"/>
                <w:b w:val="0"/>
                <w:bCs/>
                <w:color w:val="000000"/>
              </w:rPr>
              <w:t>配套监管措施</w:t>
            </w:r>
          </w:p>
        </w:tc>
        <w:tc>
          <w:tcPr>
            <w:tcW w:w="880" w:type="dxa"/>
            <w:tcBorders>
              <w:top w:val="single" w:color="auto" w:sz="6" w:space="0"/>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ascii="黑体" w:hAnsi="黑体" w:eastAsia="黑体" w:cs="黑体"/>
                <w:b w:val="0"/>
                <w:bCs/>
                <w:color w:val="000000"/>
              </w:rPr>
            </w:pPr>
            <w:r>
              <w:rPr>
                <w:rStyle w:val="10"/>
                <w:rFonts w:hint="eastAsia" w:ascii="黑体" w:hAnsi="黑体" w:eastAsia="黑体" w:cs="黑体"/>
                <w:b w:val="0"/>
                <w:bCs/>
                <w:color w:val="000000"/>
              </w:rPr>
              <w:t>备注</w:t>
            </w:r>
          </w:p>
        </w:tc>
      </w:tr>
      <w:tr>
        <w:tblPrEx>
          <w:tblCellMar>
            <w:top w:w="0" w:type="dxa"/>
            <w:left w:w="0" w:type="dxa"/>
            <w:bottom w:w="0" w:type="dxa"/>
            <w:right w:w="0" w:type="dxa"/>
          </w:tblCellMar>
        </w:tblPrEx>
        <w:trPr>
          <w:trHeight w:val="454"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1</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生产经营单位对从业人员进行安全培训期间未支付工资并承担安全培训费用的。</w:t>
            </w:r>
          </w:p>
        </w:tc>
        <w:tc>
          <w:tcPr>
            <w:tcW w:w="39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Style w:val="10"/>
                <w:rFonts w:hint="eastAsia" w:ascii="仿宋_GB2312" w:hAnsi="仿宋_GB2312" w:eastAsia="仿宋_GB2312" w:cs="仿宋_GB2312"/>
                <w:color w:val="000000"/>
              </w:rPr>
              <w:t>《生产经营单位安全培训规定》（原国家安全监管总局令第3号）</w:t>
            </w:r>
            <w:r>
              <w:rPr>
                <w:rFonts w:hint="eastAsia" w:ascii="仿宋_GB2312" w:hAnsi="仿宋_GB2312" w:eastAsia="仿宋_GB2312" w:cs="仿宋_GB2312"/>
                <w:b/>
                <w:bCs/>
                <w:color w:val="000000"/>
              </w:rPr>
              <w:t>第二十九条</w:t>
            </w:r>
            <w:r>
              <w:rPr>
                <w:rStyle w:val="10"/>
                <w:rFonts w:hint="eastAsia" w:ascii="仿宋_GB2312" w:hAnsi="仿宋_GB2312" w:eastAsia="仿宋_GB2312" w:cs="仿宋_GB2312"/>
                <w:color w:val="000000"/>
              </w:rPr>
              <w:t>第（二）项</w:t>
            </w:r>
            <w:r>
              <w:rPr>
                <w:rFonts w:hint="eastAsia" w:ascii="仿宋_GB2312" w:hAnsi="仿宋_GB2312" w:eastAsia="仿宋_GB2312" w:cs="仿宋_GB2312"/>
                <w:b/>
                <w:bCs/>
                <w:color w:val="000000"/>
              </w:rPr>
              <w:t>：</w:t>
            </w:r>
            <w:r>
              <w:rPr>
                <w:rFonts w:hint="eastAsia" w:ascii="仿宋_GB2312" w:hAnsi="仿宋_GB2312" w:eastAsia="仿宋_GB2312" w:cs="仿宋_GB2312"/>
                <w:color w:val="000000"/>
              </w:rPr>
              <w:t>生产经营单位有下列行为之一的，由安全生产监管监察部门责令其限期改正，可以处1万元以上3万元以下的罚款：</w:t>
            </w:r>
          </w:p>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（二）从业人员进行安全培训期间未支付工资并承担安全培训费用的。</w:t>
            </w:r>
          </w:p>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违法行为轻微并及时改正，没有造成危害后果，或初次违法且危害后果轻微并及时改正的。</w:t>
            </w:r>
          </w:p>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p>
        </w:tc>
        <w:tc>
          <w:tcPr>
            <w:tcW w:w="309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90"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2</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非煤矿矿山企业在安全生产许可证有效期内单位名称、主要负责人、单位地址、经济类型、许可范围发生变更，未按照规定申请、办理变更安全生产许可证的。</w:t>
            </w:r>
          </w:p>
        </w:tc>
        <w:tc>
          <w:tcPr>
            <w:tcW w:w="39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Style w:val="10"/>
                <w:rFonts w:hint="eastAsia" w:ascii="仿宋_GB2312" w:hAnsi="仿宋_GB2312" w:eastAsia="仿宋_GB2312" w:cs="仿宋_GB2312"/>
                <w:color w:val="000000"/>
              </w:rPr>
              <w:t>《非煤矿矿山企业安全生产许可证实施办法》（原国家安全监管总局令第20号）第四十四条第一款：</w:t>
            </w:r>
            <w:r>
              <w:rPr>
                <w:rFonts w:hint="eastAsia" w:ascii="仿宋_GB2312" w:hAnsi="仿宋_GB2312" w:eastAsia="仿宋_GB2312" w:cs="仿宋_GB2312"/>
                <w:color w:val="000000"/>
              </w:rPr>
              <w:t>非煤矿矿山企业在安全生产许可证有效期内，出现需要变更安全生产许可证的情形，未按本实施办法第二十一条的规定申请、办理变更手续的，责令限期办理变更手续，并处1万元以上3万元以下罚款。</w:t>
            </w:r>
          </w:p>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非煤矿矿山企业在违法行为被发现前，主动申请办理变更手续，没有造成危害后果，或者违法行为属于初次违法且危害后果轻微并及时改正的。</w:t>
            </w:r>
          </w:p>
        </w:tc>
        <w:tc>
          <w:tcPr>
            <w:tcW w:w="309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Style w:val="10"/>
                <w:rFonts w:ascii="仿宋_GB2312" w:hAnsi="仿宋_GB2312" w:eastAsia="仿宋_GB2312" w:cs="仿宋_GB2312"/>
                <w:b w:val="0"/>
                <w:bCs/>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3</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登记企业在危险化学品登记证有效期内企业名称、注册地址、应急咨询服务电话发生变化，未按规定按时办理危险化学品登记变更手续的。</w:t>
            </w:r>
          </w:p>
        </w:tc>
        <w:tc>
          <w:tcPr>
            <w:tcW w:w="39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shd w:val="clear" w:color="auto" w:fill="FFFFFF"/>
              </w:rPr>
            </w:pPr>
            <w:r>
              <w:rPr>
                <w:rFonts w:hint="eastAsia" w:ascii="仿宋_GB2312" w:hAnsi="仿宋_GB2312" w:eastAsia="仿宋_GB2312" w:cs="仿宋_GB2312"/>
                <w:b/>
                <w:bCs/>
                <w:color w:val="000000"/>
                <w:shd w:val="clear" w:color="auto" w:fill="FFFFFF"/>
              </w:rPr>
              <w:t>《</w:t>
            </w:r>
            <w:r>
              <w:rPr>
                <w:rFonts w:hint="eastAsia" w:ascii="仿宋_GB2312" w:hAnsi="仿宋_GB2312" w:eastAsia="仿宋_GB2312" w:cs="仿宋_GB2312"/>
                <w:b/>
                <w:bCs/>
                <w:color w:val="000000"/>
              </w:rPr>
              <w:t>危险化学品登记管理办法</w:t>
            </w:r>
            <w:r>
              <w:rPr>
                <w:rFonts w:hint="eastAsia" w:ascii="仿宋_GB2312" w:hAnsi="仿宋_GB2312" w:eastAsia="仿宋_GB2312" w:cs="仿宋_GB2312"/>
                <w:b/>
                <w:bCs/>
                <w:color w:val="000000"/>
                <w:shd w:val="clear" w:color="auto" w:fill="FFFFFF"/>
              </w:rPr>
              <w:t>》（</w:t>
            </w:r>
            <w:r>
              <w:rPr>
                <w:rStyle w:val="10"/>
                <w:rFonts w:hint="eastAsia" w:ascii="仿宋_GB2312" w:hAnsi="仿宋_GB2312" w:eastAsia="仿宋_GB2312" w:cs="仿宋_GB2312"/>
                <w:color w:val="000000"/>
              </w:rPr>
              <w:t>原国家安全监管总局令第53号</w:t>
            </w:r>
            <w:r>
              <w:rPr>
                <w:rFonts w:hint="eastAsia" w:ascii="仿宋_GB2312" w:hAnsi="仿宋_GB2312" w:eastAsia="仿宋_GB2312" w:cs="仿宋_GB2312"/>
                <w:b/>
                <w:bCs/>
                <w:color w:val="000000"/>
                <w:shd w:val="clear" w:color="auto" w:fill="FFFFFF"/>
              </w:rPr>
              <w:t>）第三十条</w:t>
            </w:r>
            <w:r>
              <w:rPr>
                <w:rStyle w:val="10"/>
                <w:rFonts w:hint="eastAsia" w:ascii="仿宋_GB2312" w:hAnsi="仿宋_GB2312" w:eastAsia="仿宋_GB2312" w:cs="仿宋_GB2312"/>
                <w:color w:val="000000"/>
              </w:rPr>
              <w:t>第</w:t>
            </w:r>
            <w:r>
              <w:rPr>
                <w:rFonts w:hint="eastAsia" w:ascii="仿宋_GB2312" w:hAnsi="仿宋_GB2312" w:eastAsia="仿宋_GB2312" w:cs="仿宋_GB2312"/>
                <w:b/>
                <w:bCs/>
                <w:color w:val="000000"/>
              </w:rPr>
              <w:t>（二）项</w:t>
            </w:r>
            <w:r>
              <w:rPr>
                <w:rFonts w:hint="eastAsia" w:ascii="仿宋_GB2312" w:hAnsi="仿宋_GB2312" w:eastAsia="仿宋_GB2312" w:cs="仿宋_GB2312"/>
                <w:b/>
                <w:bCs/>
                <w:color w:val="000000"/>
                <w:shd w:val="clear" w:color="auto" w:fill="FFFFFF"/>
              </w:rPr>
              <w:t>：</w:t>
            </w:r>
            <w:r>
              <w:rPr>
                <w:rFonts w:hint="eastAsia" w:ascii="仿宋_GB2312" w:hAnsi="仿宋_GB2312" w:eastAsia="仿宋_GB2312" w:cs="仿宋_GB2312"/>
                <w:color w:val="000000"/>
                <w:shd w:val="clear" w:color="auto" w:fill="FFFFFF"/>
              </w:rPr>
              <w:t>登记企业有下列行为之一的，责令改正，可以处3万元以下的罚款：</w:t>
            </w:r>
          </w:p>
          <w:p>
            <w:pPr>
              <w:pStyle w:val="6"/>
              <w:adjustRightInd w:val="0"/>
              <w:snapToGrid w:val="0"/>
              <w:spacing w:before="0" w:beforeAutospacing="0" w:after="0" w:afterAutospacing="0" w:line="300" w:lineRule="exact"/>
              <w:jc w:val="both"/>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（二）在危险化学品登记证有效期内企业名称、注册地址、应急咨询服务电话发生变化，未按规定按时办理危险化学品登记变更手续的；</w:t>
            </w:r>
          </w:p>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登记企业</w:t>
            </w:r>
            <w:r>
              <w:rPr>
                <w:rFonts w:hint="eastAsia" w:ascii="仿宋_GB2312" w:hAnsi="仿宋_GB2312" w:eastAsia="仿宋_GB2312" w:cs="仿宋_GB2312"/>
                <w:color w:val="000000"/>
              </w:rPr>
              <w:t>在违法行为被发现前，主动申请办理变更手续，没有造成危害后果，或者违法行为属于初次违法且危害后果轻微并及时改正的。</w:t>
            </w:r>
          </w:p>
        </w:tc>
        <w:tc>
          <w:tcPr>
            <w:tcW w:w="309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b/>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0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30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20" w:lineRule="exact"/>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4</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2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已经取得危险化学品经营许可证的企业变更企业名称、主要负责人、注册地址，未依照规定申请变更的。</w:t>
            </w:r>
          </w:p>
        </w:tc>
        <w:tc>
          <w:tcPr>
            <w:tcW w:w="39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20" w:lineRule="exact"/>
              <w:jc w:val="both"/>
              <w:rPr>
                <w:rFonts w:ascii="仿宋_GB2312" w:hAnsi="仿宋_GB2312" w:eastAsia="仿宋_GB2312" w:cs="仿宋_GB2312"/>
                <w:color w:val="000000"/>
                <w:shd w:val="clear" w:color="auto" w:fill="FFFFFF"/>
              </w:rPr>
            </w:pPr>
            <w:r>
              <w:rPr>
                <w:rFonts w:hint="eastAsia" w:ascii="仿宋_GB2312" w:hAnsi="仿宋_GB2312" w:eastAsia="仿宋_GB2312" w:cs="仿宋_GB2312"/>
                <w:b/>
                <w:bCs/>
                <w:color w:val="000000"/>
                <w:shd w:val="clear" w:color="auto" w:fill="FFFFFF"/>
              </w:rPr>
              <w:t>《危险化学品经营许可证管理办法》</w:t>
            </w:r>
            <w:r>
              <w:rPr>
                <w:rStyle w:val="10"/>
                <w:rFonts w:hint="eastAsia" w:ascii="仿宋_GB2312" w:hAnsi="仿宋_GB2312" w:eastAsia="仿宋_GB2312" w:cs="仿宋_GB2312"/>
                <w:color w:val="000000"/>
              </w:rPr>
              <w:t>（</w:t>
            </w:r>
            <w:r>
              <w:rPr>
                <w:rFonts w:hint="eastAsia" w:ascii="仿宋_GB2312" w:hAnsi="仿宋_GB2312" w:eastAsia="仿宋_GB2312" w:cs="仿宋_GB2312"/>
                <w:b/>
                <w:bCs/>
                <w:color w:val="000000"/>
              </w:rPr>
              <w:t>原国家安全监管总局令第55号</w:t>
            </w:r>
            <w:r>
              <w:rPr>
                <w:rStyle w:val="10"/>
                <w:rFonts w:hint="eastAsia" w:ascii="仿宋_GB2312" w:hAnsi="仿宋_GB2312" w:eastAsia="仿宋_GB2312" w:cs="仿宋_GB2312"/>
                <w:color w:val="000000"/>
              </w:rPr>
              <w:t>）</w:t>
            </w:r>
            <w:r>
              <w:rPr>
                <w:rFonts w:hint="eastAsia" w:ascii="仿宋_GB2312" w:hAnsi="仿宋_GB2312" w:eastAsia="仿宋_GB2312" w:cs="仿宋_GB2312"/>
                <w:b/>
                <w:bCs/>
                <w:color w:val="000000"/>
                <w:shd w:val="clear" w:color="auto" w:fill="FFFFFF"/>
              </w:rPr>
              <w:t>第三十三条</w:t>
            </w:r>
            <w:r>
              <w:rPr>
                <w:rFonts w:hint="eastAsia" w:ascii="仿宋_GB2312" w:hAnsi="仿宋_GB2312" w:eastAsia="仿宋_GB2312" w:cs="仿宋_GB2312"/>
                <w:color w:val="000000"/>
                <w:shd w:val="clear" w:color="auto" w:fill="FFFFFF"/>
              </w:rPr>
              <w:t>：已经取得经营许可证的企业出现本办法第十四条、第十六条规定的情形之一，未依照本办法的规定申请变更的，责令限期改正，处1万元以下的罚款;逾期仍不申请变更的，处1万元以上3万元以下的罚款。</w:t>
            </w:r>
          </w:p>
          <w:p>
            <w:pPr>
              <w:pStyle w:val="6"/>
              <w:adjustRightInd w:val="0"/>
              <w:snapToGrid w:val="0"/>
              <w:spacing w:before="0" w:beforeAutospacing="0" w:after="0" w:afterAutospacing="0" w:line="320" w:lineRule="exact"/>
              <w:jc w:val="both"/>
              <w:rPr>
                <w:rFonts w:ascii="仿宋_GB2312" w:hAnsi="仿宋_GB2312" w:eastAsia="仿宋_GB2312" w:cs="仿宋_GB2312"/>
                <w:color w:val="000000"/>
                <w:shd w:val="clear" w:color="auto" w:fill="FFFFFF"/>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2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危险化学品经营企业</w:t>
            </w:r>
            <w:r>
              <w:rPr>
                <w:rFonts w:hint="eastAsia" w:ascii="仿宋_GB2312" w:hAnsi="仿宋_GB2312" w:eastAsia="仿宋_GB2312" w:cs="仿宋_GB2312"/>
                <w:color w:val="000000"/>
              </w:rPr>
              <w:t>在违法行为被发现前，主动申请办理变更手续，没有造成危害后果，或者违法行为属于初次违法且危害后果轻微并及时改正的。</w:t>
            </w:r>
          </w:p>
        </w:tc>
        <w:tc>
          <w:tcPr>
            <w:tcW w:w="309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20" w:lineRule="exact"/>
              <w:jc w:val="both"/>
              <w:rPr>
                <w:rFonts w:ascii="仿宋_GB2312" w:hAnsi="仿宋_GB2312" w:eastAsia="仿宋_GB2312" w:cs="仿宋_GB2312"/>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2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5</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烟花爆竹批发企业变更企业名称、主要负责人、注册地址，未申请办理许可证变更手续的。</w:t>
            </w:r>
          </w:p>
        </w:tc>
        <w:tc>
          <w:tcPr>
            <w:tcW w:w="3980" w:type="dxa"/>
            <w:tcBorders>
              <w:top w:val="nil"/>
              <w:left w:val="nil"/>
              <w:bottom w:val="single" w:color="auto" w:sz="6" w:space="0"/>
              <w:right w:val="single" w:color="auto" w:sz="6" w:space="0"/>
            </w:tcBorders>
            <w:tcMar>
              <w:left w:w="105" w:type="dxa"/>
              <w:right w:w="105" w:type="dxa"/>
            </w:tcMar>
            <w:vAlign w:val="center"/>
          </w:tcPr>
          <w:p>
            <w:pPr>
              <w:shd w:val="clear" w:color="auto" w:fill="FFFFFF"/>
              <w:adjustRightInd w:val="0"/>
              <w:snapToGrid w:val="0"/>
              <w:spacing w:line="280" w:lineRule="exact"/>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sz w:val="24"/>
                <w:shd w:val="clear" w:color="auto" w:fill="FFFFFF"/>
              </w:rPr>
              <w:t>《烟花爆竹经营许可实施办法》</w:t>
            </w:r>
            <w:r>
              <w:rPr>
                <w:rStyle w:val="10"/>
                <w:rFonts w:hint="eastAsia" w:ascii="仿宋_GB2312" w:hAnsi="仿宋_GB2312" w:eastAsia="仿宋_GB2312" w:cs="仿宋_GB2312"/>
                <w:color w:val="000000"/>
                <w:sz w:val="24"/>
              </w:rPr>
              <w:t>（</w:t>
            </w:r>
            <w:r>
              <w:rPr>
                <w:rFonts w:hint="eastAsia" w:ascii="仿宋_GB2312" w:hAnsi="仿宋_GB2312" w:eastAsia="仿宋_GB2312" w:cs="仿宋_GB2312"/>
                <w:b/>
                <w:bCs/>
                <w:color w:val="000000"/>
                <w:sz w:val="24"/>
              </w:rPr>
              <w:t>原国家安全监管总局令第65号</w:t>
            </w:r>
            <w:r>
              <w:rPr>
                <w:rStyle w:val="10"/>
                <w:rFonts w:hint="eastAsia" w:ascii="仿宋_GB2312" w:hAnsi="仿宋_GB2312" w:eastAsia="仿宋_GB2312" w:cs="仿宋_GB2312"/>
                <w:color w:val="000000"/>
                <w:sz w:val="24"/>
              </w:rPr>
              <w:t>）</w:t>
            </w:r>
            <w:r>
              <w:rPr>
                <w:rFonts w:hint="eastAsia" w:ascii="仿宋_GB2312" w:hAnsi="仿宋_GB2312" w:eastAsia="仿宋_GB2312" w:cs="仿宋_GB2312"/>
                <w:b/>
                <w:bCs/>
                <w:color w:val="000000"/>
                <w:sz w:val="24"/>
                <w:shd w:val="clear" w:color="auto" w:fill="FFFFFF"/>
              </w:rPr>
              <w:t>第三十二条</w:t>
            </w:r>
            <w:r>
              <w:rPr>
                <w:rFonts w:hint="eastAsia" w:ascii="仿宋_GB2312" w:hAnsi="仿宋_GB2312" w:eastAsia="仿宋_GB2312" w:cs="仿宋_GB2312"/>
                <w:b/>
                <w:bCs/>
                <w:color w:val="000000"/>
                <w:sz w:val="24"/>
              </w:rPr>
              <w:t>第（九）项</w:t>
            </w:r>
            <w:r>
              <w:rPr>
                <w:rFonts w:hint="eastAsia" w:ascii="仿宋_GB2312" w:hAnsi="仿宋_GB2312" w:eastAsia="仿宋_GB2312" w:cs="仿宋_GB2312"/>
                <w:color w:val="000000"/>
                <w:sz w:val="24"/>
                <w:shd w:val="clear" w:color="auto" w:fill="FFFFFF"/>
              </w:rPr>
              <w:t>：</w:t>
            </w:r>
            <w:r>
              <w:rPr>
                <w:rFonts w:hint="eastAsia" w:ascii="仿宋_GB2312" w:hAnsi="仿宋_GB2312" w:eastAsia="仿宋_GB2312" w:cs="仿宋_GB2312"/>
                <w:color w:val="000000"/>
                <w:kern w:val="0"/>
                <w:sz w:val="24"/>
              </w:rPr>
              <w:t>批发企业有下列行为之一的，责令其限期改正，处5000元以上3万元以下的罚款：</w:t>
            </w:r>
          </w:p>
          <w:p>
            <w:pPr>
              <w:shd w:val="clear" w:color="auto" w:fill="FFFFFF"/>
              <w:adjustRightInd w:val="0"/>
              <w:snapToGrid w:val="0"/>
              <w:spacing w:line="2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（九）变更企业名称、主要负责人、注册地址，未申请办理许可证变更手续的；</w:t>
            </w:r>
          </w:p>
          <w:p>
            <w:pPr>
              <w:pStyle w:val="6"/>
              <w:adjustRightInd w:val="0"/>
              <w:snapToGrid w:val="0"/>
              <w:spacing w:before="0" w:beforeAutospacing="0" w:after="0" w:afterAutospacing="0" w:line="280" w:lineRule="exact"/>
              <w:jc w:val="both"/>
              <w:rPr>
                <w:rFonts w:ascii="仿宋_GB2312" w:hAnsi="仿宋_GB2312" w:eastAsia="仿宋_GB2312" w:cs="仿宋_GB2312"/>
                <w:color w:val="000000"/>
                <w:shd w:val="clear" w:color="auto" w:fill="FFFFFF"/>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烟花爆竹批发企业</w:t>
            </w:r>
            <w:r>
              <w:rPr>
                <w:rFonts w:hint="eastAsia" w:ascii="仿宋_GB2312" w:hAnsi="仿宋_GB2312" w:eastAsia="仿宋_GB2312" w:cs="仿宋_GB2312"/>
                <w:color w:val="000000"/>
              </w:rPr>
              <w:t>在违法行为被发现前，主动申请办理变更手续，没有造成危害后果，或者违法行为属于初次违法且危害后果轻微并及时改正的。</w:t>
            </w:r>
          </w:p>
        </w:tc>
        <w:tc>
          <w:tcPr>
            <w:tcW w:w="3090" w:type="dxa"/>
            <w:tcBorders>
              <w:top w:val="nil"/>
              <w:left w:val="nil"/>
              <w:bottom w:val="single" w:color="auto" w:sz="6" w:space="0"/>
              <w:right w:val="single" w:color="auto" w:sz="6" w:space="0"/>
            </w:tcBorders>
            <w:tcMar>
              <w:left w:w="105" w:type="dxa"/>
              <w:right w:w="105" w:type="dxa"/>
            </w:tcMar>
            <w:vAlign w:val="center"/>
          </w:tcPr>
          <w:p>
            <w:pPr>
              <w:pStyle w:val="6"/>
              <w:shd w:val="clear" w:color="auto" w:fill="FFFFFF"/>
              <w:adjustRightInd w:val="0"/>
              <w:snapToGrid w:val="0"/>
              <w:spacing w:before="0" w:beforeAutospacing="0" w:after="0" w:afterAutospacing="0" w:line="280" w:lineRule="exact"/>
              <w:jc w:val="both"/>
              <w:rPr>
                <w:rFonts w:ascii="仿宋_GB2312" w:hAnsi="仿宋_GB2312" w:eastAsia="仿宋_GB2312" w:cs="仿宋_GB2312"/>
                <w:b/>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shd w:val="clear" w:color="auto" w:fill="FFFFFF"/>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shd w:val="clear" w:color="auto" w:fill="FFFFFF"/>
              <w:adjustRightInd w:val="0"/>
              <w:snapToGrid w:val="0"/>
              <w:spacing w:before="0" w:beforeAutospacing="0" w:after="0" w:afterAutospacing="0" w:line="28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6</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烟花爆竹零售经营者变更零售点名称、主要负责人或者经营场所，未重新办理零售许可证的。</w:t>
            </w:r>
          </w:p>
        </w:tc>
        <w:tc>
          <w:tcPr>
            <w:tcW w:w="3980" w:type="dxa"/>
            <w:tcBorders>
              <w:top w:val="nil"/>
              <w:left w:val="nil"/>
              <w:bottom w:val="single" w:color="auto" w:sz="6" w:space="0"/>
              <w:right w:val="single" w:color="auto" w:sz="6" w:space="0"/>
            </w:tcBorders>
            <w:tcMar>
              <w:left w:w="105" w:type="dxa"/>
              <w:right w:w="105" w:type="dxa"/>
            </w:tcMar>
            <w:vAlign w:val="center"/>
          </w:tcPr>
          <w:p>
            <w:pPr>
              <w:shd w:val="clear" w:color="auto" w:fill="FFFFFF"/>
              <w:adjustRightInd w:val="0"/>
              <w:snapToGrid w:val="0"/>
              <w:spacing w:line="280" w:lineRule="exact"/>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sz w:val="24"/>
                <w:shd w:val="clear" w:color="auto" w:fill="FFFFFF"/>
              </w:rPr>
              <w:t>《烟花爆竹经营许可实施办法》</w:t>
            </w:r>
            <w:r>
              <w:rPr>
                <w:rStyle w:val="10"/>
                <w:rFonts w:hint="eastAsia" w:ascii="仿宋_GB2312" w:hAnsi="仿宋_GB2312" w:eastAsia="仿宋_GB2312" w:cs="仿宋_GB2312"/>
                <w:color w:val="000000"/>
                <w:sz w:val="24"/>
              </w:rPr>
              <w:t>（</w:t>
            </w:r>
            <w:r>
              <w:rPr>
                <w:rFonts w:hint="eastAsia" w:ascii="仿宋_GB2312" w:hAnsi="仿宋_GB2312" w:eastAsia="仿宋_GB2312" w:cs="仿宋_GB2312"/>
                <w:b/>
                <w:bCs/>
                <w:color w:val="000000"/>
                <w:sz w:val="24"/>
              </w:rPr>
              <w:t>原国家安全监管总局令第65号</w:t>
            </w:r>
            <w:r>
              <w:rPr>
                <w:rStyle w:val="10"/>
                <w:rFonts w:hint="eastAsia" w:ascii="仿宋_GB2312" w:hAnsi="仿宋_GB2312" w:eastAsia="仿宋_GB2312" w:cs="仿宋_GB2312"/>
                <w:color w:val="000000"/>
                <w:sz w:val="24"/>
              </w:rPr>
              <w:t>）</w:t>
            </w:r>
            <w:r>
              <w:rPr>
                <w:rFonts w:hint="eastAsia" w:ascii="仿宋_GB2312" w:hAnsi="仿宋_GB2312" w:eastAsia="仿宋_GB2312" w:cs="仿宋_GB2312"/>
                <w:b/>
                <w:bCs/>
                <w:color w:val="000000"/>
                <w:sz w:val="24"/>
                <w:shd w:val="clear" w:color="auto" w:fill="FFFFFF"/>
              </w:rPr>
              <w:t>第三十五条</w:t>
            </w:r>
            <w:r>
              <w:rPr>
                <w:rFonts w:hint="eastAsia" w:ascii="仿宋_GB2312" w:hAnsi="仿宋_GB2312" w:eastAsia="仿宋_GB2312" w:cs="仿宋_GB2312"/>
                <w:b/>
                <w:bCs/>
                <w:color w:val="000000"/>
                <w:sz w:val="24"/>
              </w:rPr>
              <w:t>第（一）项</w:t>
            </w:r>
            <w:r>
              <w:rPr>
                <w:rFonts w:hint="eastAsia" w:ascii="仿宋_GB2312" w:hAnsi="仿宋_GB2312" w:eastAsia="仿宋_GB2312" w:cs="仿宋_GB2312"/>
                <w:color w:val="000000"/>
                <w:sz w:val="24"/>
                <w:shd w:val="clear" w:color="auto" w:fill="FFFFFF"/>
              </w:rPr>
              <w:t>：</w:t>
            </w:r>
            <w:r>
              <w:rPr>
                <w:rFonts w:hint="eastAsia" w:ascii="仿宋_GB2312" w:hAnsi="仿宋_GB2312" w:eastAsia="仿宋_GB2312" w:cs="仿宋_GB2312"/>
                <w:color w:val="000000"/>
                <w:kern w:val="0"/>
                <w:sz w:val="24"/>
              </w:rPr>
              <w:t>零售经营者有下列行为之一的，责令其限期改正，处1000元以上5000元以下的罚款；情节严重的，处5000元以上30000元以下的罚款：</w:t>
            </w:r>
          </w:p>
          <w:p>
            <w:pPr>
              <w:shd w:val="clear" w:color="auto" w:fill="FFFFFF"/>
              <w:adjustRightInd w:val="0"/>
              <w:snapToGrid w:val="0"/>
              <w:spacing w:line="28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（一）变更零售点名称、主要负责人或者经营场所，未重新办理零售许可证的；</w:t>
            </w:r>
          </w:p>
          <w:p>
            <w:pPr>
              <w:pStyle w:val="6"/>
              <w:adjustRightInd w:val="0"/>
              <w:snapToGrid w:val="0"/>
              <w:spacing w:before="0" w:beforeAutospacing="0" w:after="0" w:afterAutospacing="0" w:line="280" w:lineRule="exact"/>
              <w:jc w:val="both"/>
              <w:rPr>
                <w:rFonts w:ascii="仿宋_GB2312" w:hAnsi="仿宋_GB2312" w:eastAsia="仿宋_GB2312" w:cs="仿宋_GB2312"/>
                <w:color w:val="000000"/>
                <w:shd w:val="clear" w:color="auto" w:fill="FFFFFF"/>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烟花爆竹零售经营者</w:t>
            </w:r>
            <w:r>
              <w:rPr>
                <w:rFonts w:hint="eastAsia" w:ascii="仿宋_GB2312" w:hAnsi="仿宋_GB2312" w:eastAsia="仿宋_GB2312" w:cs="仿宋_GB2312"/>
                <w:color w:val="000000"/>
              </w:rPr>
              <w:t>在违法行为被发现前，主动申请办理变更手续，没有造成危害后果，或者违法行为属于初次违法且危害后果轻微并及时改正的。</w:t>
            </w:r>
          </w:p>
        </w:tc>
        <w:tc>
          <w:tcPr>
            <w:tcW w:w="3090" w:type="dxa"/>
            <w:tcBorders>
              <w:top w:val="nil"/>
              <w:left w:val="nil"/>
              <w:bottom w:val="single" w:color="auto" w:sz="6" w:space="0"/>
              <w:right w:val="single" w:color="auto" w:sz="6" w:space="0"/>
            </w:tcBorders>
            <w:tcMar>
              <w:left w:w="105" w:type="dxa"/>
              <w:right w:w="105" w:type="dxa"/>
            </w:tcMar>
            <w:vAlign w:val="center"/>
          </w:tcPr>
          <w:p>
            <w:pPr>
              <w:pStyle w:val="6"/>
              <w:shd w:val="clear" w:color="auto" w:fill="FFFFFF"/>
              <w:adjustRightInd w:val="0"/>
              <w:snapToGrid w:val="0"/>
              <w:spacing w:before="0" w:beforeAutospacing="0" w:after="0" w:afterAutospacing="0" w:line="280" w:lineRule="exact"/>
              <w:jc w:val="both"/>
              <w:rPr>
                <w:rFonts w:ascii="仿宋_GB2312" w:hAnsi="仿宋_GB2312" w:eastAsia="仿宋_GB2312" w:cs="仿宋_GB2312"/>
                <w:b/>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shd w:val="clear" w:color="auto" w:fill="FFFFFF"/>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shd w:val="clear" w:color="auto" w:fill="FFFFFF"/>
              <w:adjustRightInd w:val="0"/>
              <w:snapToGrid w:val="0"/>
              <w:spacing w:before="0" w:beforeAutospacing="0" w:after="0" w:afterAutospacing="0" w:line="28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nil"/>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Fonts w:hint="eastAsia" w:ascii="仿宋_GB2312" w:hAnsi="仿宋_GB2312" w:eastAsia="仿宋_GB2312" w:cs="仿宋_GB2312"/>
                <w:color w:val="000000"/>
                <w:lang w:eastAsia="zh-CN"/>
              </w:rPr>
            </w:pPr>
            <w:r>
              <w:rPr>
                <w:rStyle w:val="10"/>
                <w:rFonts w:hint="eastAsia" w:ascii="仿宋_GB2312" w:hAnsi="仿宋_GB2312" w:eastAsia="仿宋_GB2312" w:cs="仿宋_GB2312"/>
                <w:b w:val="0"/>
                <w:color w:val="000000"/>
                <w:lang w:val="en-US" w:eastAsia="zh-CN"/>
              </w:rPr>
              <w:t>7</w:t>
            </w:r>
          </w:p>
        </w:tc>
        <w:tc>
          <w:tcPr>
            <w:tcW w:w="22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rPr>
              <w:t>生产经营单位未按照规定进行应急预案修订的。</w:t>
            </w:r>
          </w:p>
        </w:tc>
        <w:tc>
          <w:tcPr>
            <w:tcW w:w="39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Style w:val="10"/>
                <w:rFonts w:hint="eastAsia" w:ascii="仿宋_GB2312" w:hAnsi="仿宋_GB2312" w:eastAsia="仿宋_GB2312" w:cs="仿宋_GB2312"/>
                <w:color w:val="000000"/>
              </w:rPr>
              <w:t>《生产安全事故应急预案管理办法》（应急管理部令第2号）</w:t>
            </w:r>
            <w:r>
              <w:rPr>
                <w:rFonts w:hint="eastAsia" w:ascii="仿宋_GB2312" w:hAnsi="仿宋_GB2312" w:eastAsia="仿宋_GB2312" w:cs="仿宋_GB2312"/>
                <w:b/>
                <w:bCs/>
                <w:color w:val="000000"/>
              </w:rPr>
              <w:t>第四十五条第一款第（五）项：</w:t>
            </w:r>
            <w:r>
              <w:rPr>
                <w:rFonts w:hint="eastAsia" w:ascii="仿宋_GB2312" w:hAnsi="仿宋_GB2312" w:eastAsia="仿宋_GB2312" w:cs="仿宋_GB2312"/>
                <w:color w:val="000000"/>
              </w:rPr>
              <w:t>生产经营单位有下列情形之一的，由县级以上人民政府应急管理部门责令限期改正，可以处1万元以上3万元以下的罚款：</w:t>
            </w:r>
          </w:p>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（五）未按照规定进行应急预案修订的；</w:t>
            </w:r>
          </w:p>
          <w:p>
            <w:pPr>
              <w:pStyle w:val="6"/>
              <w:adjustRightInd w:val="0"/>
              <w:snapToGrid w:val="0"/>
              <w:spacing w:before="0" w:beforeAutospacing="0" w:after="0" w:afterAutospacing="0" w:line="300" w:lineRule="exact"/>
              <w:jc w:val="both"/>
              <w:rPr>
                <w:rFonts w:ascii="仿宋_GB2312" w:hAnsi="仿宋_GB2312" w:eastAsia="仿宋_GB2312" w:cs="仿宋_GB2312"/>
                <w:color w:val="000000"/>
                <w:shd w:val="clear" w:color="auto" w:fill="FFFFFF"/>
              </w:rPr>
            </w:pPr>
          </w:p>
        </w:tc>
        <w:tc>
          <w:tcPr>
            <w:tcW w:w="192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生产经营单位在违法行为被发现前，主动及时改正违法行为，没有造成危害后果，或者违法行为属于初次违法且危害后果轻微并及时改正的。</w:t>
            </w:r>
          </w:p>
        </w:tc>
        <w:tc>
          <w:tcPr>
            <w:tcW w:w="309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b/>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30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nil"/>
              <w:left w:val="nil"/>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hint="eastAsia" w:ascii="仿宋_GB2312" w:hAnsi="仿宋_GB2312" w:eastAsia="仿宋_GB2312" w:cs="仿宋_GB2312"/>
                <w:b w:val="0"/>
                <w:color w:val="000000"/>
                <w:lang w:eastAsia="zh-CN"/>
              </w:rPr>
            </w:pPr>
            <w:r>
              <w:rPr>
                <w:rStyle w:val="10"/>
                <w:rFonts w:hint="eastAsia" w:ascii="仿宋_GB2312" w:hAnsi="仿宋_GB2312" w:eastAsia="仿宋_GB2312" w:cs="仿宋_GB2312"/>
                <w:b w:val="0"/>
                <w:color w:val="000000"/>
                <w:lang w:val="en-US" w:eastAsia="zh-CN"/>
              </w:rPr>
              <w:t>8</w:t>
            </w:r>
          </w:p>
        </w:tc>
        <w:tc>
          <w:tcPr>
            <w:tcW w:w="22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安全评价检测检验机构名称等事项发生变化，未按规定向原资质认可机关提出变更申请的</w:t>
            </w:r>
          </w:p>
        </w:tc>
        <w:tc>
          <w:tcPr>
            <w:tcW w:w="3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Style w:val="10"/>
                <w:rFonts w:hint="eastAsia" w:ascii="仿宋_GB2312" w:hAnsi="仿宋_GB2312" w:eastAsia="仿宋_GB2312" w:cs="仿宋_GB2312"/>
                <w:color w:val="000000"/>
              </w:rPr>
              <w:t>《安全评价检测检验机构管理办法》第三十条第五项：</w:t>
            </w:r>
            <w:r>
              <w:rPr>
                <w:rStyle w:val="10"/>
                <w:rFonts w:hint="eastAsia" w:ascii="仿宋_GB2312" w:hAnsi="仿宋_GB2312" w:eastAsia="仿宋_GB2312" w:cs="仿宋_GB2312"/>
                <w:b w:val="0"/>
                <w:bCs/>
                <w:color w:val="000000"/>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19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安全评价检测检验机构在违法行为被发现前，主动申请办理变更手续，没有造成危害后果，或者违法行为属于初次违法且危害后果轻微并及时改正的。</w:t>
            </w:r>
          </w:p>
        </w:tc>
        <w:tc>
          <w:tcPr>
            <w:tcW w:w="30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b w:val="0"/>
                <w:bCs/>
                <w:color w:val="000000"/>
              </w:rPr>
            </w:pPr>
          </w:p>
          <w:p>
            <w:pPr>
              <w:pStyle w:val="6"/>
              <w:adjustRightInd w:val="0"/>
              <w:snapToGrid w:val="0"/>
              <w:spacing w:before="0" w:beforeAutospacing="0" w:after="0" w:afterAutospacing="0" w:line="300" w:lineRule="exact"/>
              <w:jc w:val="both"/>
              <w:rPr>
                <w:rFonts w:ascii="仿宋_GB2312" w:hAnsi="仿宋_GB2312" w:eastAsia="仿宋_GB2312" w:cs="仿宋_GB2312"/>
                <w:b/>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30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hint="eastAsia" w:ascii="仿宋_GB2312" w:hAnsi="仿宋_GB2312" w:eastAsia="仿宋_GB2312" w:cs="仿宋_GB2312"/>
                <w:b w:val="0"/>
                <w:color w:val="000000"/>
                <w:lang w:eastAsia="zh-CN"/>
              </w:rPr>
            </w:pPr>
            <w:r>
              <w:rPr>
                <w:rStyle w:val="10"/>
                <w:rFonts w:hint="eastAsia" w:ascii="仿宋_GB2312" w:hAnsi="仿宋_GB2312" w:eastAsia="仿宋_GB2312" w:cs="仿宋_GB2312"/>
                <w:b w:val="0"/>
                <w:color w:val="000000"/>
                <w:lang w:val="en-US" w:eastAsia="zh-CN"/>
              </w:rPr>
              <w:t>9</w:t>
            </w:r>
            <w:bookmarkStart w:id="0" w:name="_GoBack"/>
            <w:bookmarkEnd w:id="0"/>
          </w:p>
        </w:tc>
        <w:tc>
          <w:tcPr>
            <w:tcW w:w="22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安全评价检测检验机构未按规定公开安全评价报告、安全生产检测检验报告相关信息及现场勘验图像影像资料的。</w:t>
            </w:r>
          </w:p>
        </w:tc>
        <w:tc>
          <w:tcPr>
            <w:tcW w:w="3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b w:val="0"/>
                <w:bCs/>
                <w:color w:val="000000"/>
              </w:rPr>
            </w:pPr>
            <w:r>
              <w:rPr>
                <w:rStyle w:val="10"/>
                <w:rFonts w:hint="eastAsia" w:ascii="仿宋_GB2312" w:hAnsi="仿宋_GB2312" w:eastAsia="仿宋_GB2312" w:cs="仿宋_GB2312"/>
                <w:color w:val="000000"/>
              </w:rPr>
              <w:t>《安全评价检测检验机构管理办法》第三十条：</w:t>
            </w:r>
            <w:r>
              <w:rPr>
                <w:rStyle w:val="10"/>
                <w:rFonts w:hint="eastAsia" w:ascii="仿宋_GB2312" w:hAnsi="仿宋_GB2312" w:eastAsia="仿宋_GB2312" w:cs="仿宋_GB2312"/>
                <w:b w:val="0"/>
                <w:bCs/>
                <w:color w:val="000000"/>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p>
        </w:tc>
        <w:tc>
          <w:tcPr>
            <w:tcW w:w="19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r>
              <w:rPr>
                <w:rFonts w:hint="eastAsia" w:ascii="仿宋_GB2312" w:hAnsi="仿宋_GB2312" w:eastAsia="仿宋_GB2312" w:cs="仿宋_GB2312"/>
                <w:color w:val="000000"/>
              </w:rPr>
              <w:t>违法行为轻微并及时改正，没有造成危害后果，或初次违法且危害后果轻微并及时改正的。</w:t>
            </w:r>
          </w:p>
        </w:tc>
        <w:tc>
          <w:tcPr>
            <w:tcW w:w="30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b w:val="0"/>
                <w:bCs/>
                <w:color w:val="000000"/>
              </w:rPr>
            </w:pPr>
            <w:r>
              <w:rPr>
                <w:rStyle w:val="10"/>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b/>
                <w:bCs/>
                <w:color w:val="000000"/>
              </w:rPr>
              <w:t>第三十三条第一款：</w:t>
            </w:r>
            <w:r>
              <w:rPr>
                <w:rFonts w:hint="eastAsia" w:ascii="仿宋_GB2312" w:hAnsi="仿宋_GB2312" w:eastAsia="仿宋_GB2312" w:cs="仿宋_GB2312"/>
                <w:color w:val="000000"/>
              </w:rPr>
              <w:t>违法行为轻微并及时改正，没有造成危害后果的，不予行政处罚。初次违法且危害后果轻微并及时改正的，可以不予行政处罚。</w:t>
            </w: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28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批评教育、</w:t>
            </w:r>
          </w:p>
          <w:p>
            <w:pPr>
              <w:pStyle w:val="6"/>
              <w:adjustRightInd w:val="0"/>
              <w:snapToGrid w:val="0"/>
              <w:spacing w:before="0" w:beforeAutospacing="0" w:after="0" w:afterAutospacing="0" w:line="32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行政告诫、</w:t>
            </w:r>
          </w:p>
          <w:p>
            <w:pPr>
              <w:pStyle w:val="6"/>
              <w:adjustRightInd w:val="0"/>
              <w:snapToGrid w:val="0"/>
              <w:spacing w:before="0" w:beforeAutospacing="0" w:after="0" w:afterAutospacing="0" w:line="300" w:lineRule="exact"/>
              <w:jc w:val="center"/>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签订承诺书</w:t>
            </w:r>
          </w:p>
        </w:tc>
        <w:tc>
          <w:tcPr>
            <w:tcW w:w="8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color w:val="000000"/>
              </w:rPr>
            </w:pPr>
          </w:p>
        </w:tc>
      </w:tr>
      <w:tr>
        <w:tblPrEx>
          <w:tblCellMar>
            <w:top w:w="0" w:type="dxa"/>
            <w:left w:w="0" w:type="dxa"/>
            <w:bottom w:w="0" w:type="dxa"/>
            <w:right w:w="0" w:type="dxa"/>
          </w:tblCellMar>
        </w:tblPrEx>
        <w:trPr>
          <w:trHeight w:val="454" w:hRule="atLeast"/>
          <w:jc w:val="center"/>
        </w:trPr>
        <w:tc>
          <w:tcPr>
            <w:tcW w:w="77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ascii="仿宋_GB2312" w:hAnsi="仿宋_GB2312" w:eastAsia="仿宋_GB2312" w:cs="仿宋_GB2312"/>
                <w:b w:val="0"/>
                <w:color w:val="000000"/>
              </w:rPr>
            </w:pPr>
          </w:p>
        </w:tc>
        <w:tc>
          <w:tcPr>
            <w:tcW w:w="22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p>
        </w:tc>
        <w:tc>
          <w:tcPr>
            <w:tcW w:w="39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p>
        </w:tc>
        <w:tc>
          <w:tcPr>
            <w:tcW w:w="192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Fonts w:ascii="仿宋_GB2312" w:hAnsi="仿宋_GB2312" w:eastAsia="仿宋_GB2312" w:cs="仿宋_GB2312"/>
                <w:color w:val="000000"/>
              </w:rPr>
            </w:pPr>
          </w:p>
        </w:tc>
        <w:tc>
          <w:tcPr>
            <w:tcW w:w="30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color w:val="000000"/>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center"/>
              <w:rPr>
                <w:rStyle w:val="10"/>
                <w:rFonts w:ascii="仿宋_GB2312" w:hAnsi="仿宋_GB2312" w:eastAsia="仿宋_GB2312" w:cs="仿宋_GB2312"/>
                <w:color w:val="000000"/>
              </w:rPr>
            </w:pPr>
          </w:p>
        </w:tc>
        <w:tc>
          <w:tcPr>
            <w:tcW w:w="88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pStyle w:val="6"/>
              <w:adjustRightInd w:val="0"/>
              <w:snapToGrid w:val="0"/>
              <w:spacing w:before="0" w:beforeAutospacing="0" w:after="0" w:afterAutospacing="0" w:line="300" w:lineRule="exact"/>
              <w:jc w:val="both"/>
              <w:rPr>
                <w:rStyle w:val="10"/>
                <w:rFonts w:ascii="仿宋_GB2312" w:hAnsi="仿宋_GB2312" w:eastAsia="仿宋_GB2312" w:cs="仿宋_GB2312"/>
                <w:color w:val="000000"/>
              </w:rPr>
            </w:pPr>
          </w:p>
        </w:tc>
      </w:tr>
    </w:tbl>
    <w:p>
      <w:pPr>
        <w:pStyle w:val="4"/>
        <w:pBdr>
          <w:top w:val="none" w:color="auto" w:sz="0" w:space="1"/>
          <w:left w:val="none" w:color="auto" w:sz="0" w:space="4"/>
          <w:bottom w:val="none" w:color="auto" w:sz="0" w:space="1"/>
          <w:right w:val="none" w:color="auto" w:sz="0" w:space="4"/>
        </w:pBdr>
        <w:jc w:val="left"/>
        <w:rPr>
          <w:color w:val="000000"/>
        </w:rPr>
      </w:pPr>
    </w:p>
    <w:p>
      <w:pPr>
        <w:pStyle w:val="4"/>
        <w:pBdr>
          <w:top w:val="none" w:color="auto" w:sz="0" w:space="1"/>
          <w:left w:val="none" w:color="auto" w:sz="0" w:space="4"/>
          <w:bottom w:val="none" w:color="auto" w:sz="0" w:space="1"/>
          <w:right w:val="none" w:color="auto" w:sz="0" w:space="4"/>
        </w:pBdr>
        <w:ind w:left="964" w:hanging="964" w:hangingChars="300"/>
        <w:jc w:val="left"/>
        <w:rPr>
          <w:rFonts w:hint="eastAsia" w:ascii="方正仿宋_GBK" w:hAnsi="方正仿宋_GBK" w:eastAsia="方正仿宋_GBK" w:cs="方正仿宋_GBK"/>
          <w:sz w:val="28"/>
          <w:szCs w:val="28"/>
        </w:rPr>
      </w:pPr>
      <w:r>
        <w:rPr>
          <w:rFonts w:hint="eastAsia" w:ascii="仿宋_GB2312" w:hAnsi="仿宋_GB2312" w:eastAsia="仿宋_GB2312" w:cs="仿宋_GB2312"/>
          <w:b/>
          <w:bCs/>
          <w:color w:val="000000"/>
          <w:sz w:val="32"/>
          <w:szCs w:val="32"/>
        </w:rPr>
        <w:t>备注：</w:t>
      </w:r>
      <w:r>
        <w:rPr>
          <w:rFonts w:hint="eastAsia" w:ascii="仿宋_GB2312" w:hAnsi="仿宋_GB2312" w:eastAsia="仿宋_GB2312" w:cs="仿宋_GB2312"/>
          <w:sz w:val="24"/>
          <w:szCs w:val="24"/>
        </w:rPr>
        <w:t>1.本清单适用对象为最近三年未发生生产安全事故的生产经营单位。2.对于清单中首次被发现，不予行政处罚的具体违法行为，执法人员应当依法下达现场检查记录、责令限期整改指令书、整改复查意见书，按期复查。对逾期不予整改、整改不符合要求、拒不整改、弄虚作假、再次发现同项违法行为的，执法人员应当依照相关程序依法进行立案查处，配套监管措施应当以书面形式存档。3.区应急管理厅将定期调度并评估《清单》实施情况，把《清单》的贯彻落实情况作为执法监督的重要内容，对不严格、不依法落实的，及时督促整改并进行通报。</w:t>
      </w:r>
    </w:p>
    <w:sectPr>
      <w:footerReference r:id="rId3" w:type="default"/>
      <w:footerReference r:id="rId4"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hint="eastAsia"/>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rPr>
                              <w:color w:val="000000"/>
                            </w:rPr>
                          </w:pPr>
                          <w:r>
                            <w:rPr>
                              <w:rFonts w:hint="eastAsia" w:ascii="宋体" w:hAnsi="宋体"/>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8</w:t>
                          </w:r>
                          <w:r>
                            <w:rPr>
                              <w:rFonts w:ascii="宋体" w:hAnsi="宋体"/>
                              <w:color w:val="000000"/>
                              <w:sz w:val="28"/>
                              <w:szCs w:val="28"/>
                            </w:rPr>
                            <w:fldChar w:fldCharType="end"/>
                          </w:r>
                          <w:r>
                            <w:rPr>
                              <w:rFonts w:hint="eastAsia" w:ascii="宋体" w:hAnsi="宋体"/>
                              <w:color w:val="000000"/>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oUq8BAABL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kPLenD7HGrNuAeWn45gcc8+iP6MyqBwU2f1EP&#10;wTg2endqrhwSEfnRfDafVxgSGBsviM9enweI6bv0lmSjoYDTK03l25uYDqljSq7m/JU2pkzQuHcO&#10;xMwelrkfOGYrDavhKGjl2x3q6XHwDXW4mZSYa4d9zTsyGjAaq9HYBNDrDqlNC68Yvm4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UoUq8BAABL&#10;AwAADgAAAAAAAAABACAAAAAeAQAAZHJzL2Uyb0RvYy54bWxQSwUGAAAAAAYABgBZAQAAPwUAAAAA&#10;">
              <v:fill on="f" focussize="0,0"/>
              <v:stroke on="f"/>
              <v:imagedata o:title=""/>
              <o:lock v:ext="edit" aspectratio="f"/>
              <v:textbox inset="0mm,0mm,0mm,0mm" style="mso-fit-shape-to-text:t;">
                <w:txbxContent>
                  <w:p>
                    <w:pPr>
                      <w:pStyle w:val="5"/>
                      <w:jc w:val="right"/>
                      <w:rPr>
                        <w:color w:val="000000"/>
                      </w:rPr>
                    </w:pPr>
                    <w:r>
                      <w:rPr>
                        <w:rFonts w:hint="eastAsia" w:ascii="宋体" w:hAnsi="宋体"/>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8</w:t>
                    </w:r>
                    <w:r>
                      <w:rPr>
                        <w:rFonts w:ascii="宋体" w:hAnsi="宋体"/>
                        <w:color w:val="000000"/>
                        <w:sz w:val="28"/>
                        <w:szCs w:val="28"/>
                      </w:rPr>
                      <w:fldChar w:fldCharType="end"/>
                    </w:r>
                    <w:r>
                      <w:rPr>
                        <w:rFonts w:hint="eastAsia" w:ascii="宋体" w:hAnsi="宋体"/>
                        <w:color w:val="00000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556A33"/>
    <w:rsid w:val="00C614FB"/>
    <w:rsid w:val="00D922A2"/>
    <w:rsid w:val="00EB53CE"/>
    <w:rsid w:val="00F137C5"/>
    <w:rsid w:val="3977B61F"/>
    <w:rsid w:val="3A734B20"/>
    <w:rsid w:val="3A7C91D5"/>
    <w:rsid w:val="3FF7CAD9"/>
    <w:rsid w:val="4A1947CF"/>
    <w:rsid w:val="4DE69F62"/>
    <w:rsid w:val="54BE6436"/>
    <w:rsid w:val="5DFFD205"/>
    <w:rsid w:val="6BED54A6"/>
    <w:rsid w:val="6FEE4E5F"/>
    <w:rsid w:val="73FF323F"/>
    <w:rsid w:val="75CE9524"/>
    <w:rsid w:val="7A5F03FE"/>
    <w:rsid w:val="7BFE7079"/>
    <w:rsid w:val="7CD3D104"/>
    <w:rsid w:val="7EB61755"/>
    <w:rsid w:val="7EF961BF"/>
    <w:rsid w:val="7EFFD7A1"/>
    <w:rsid w:val="7FDC7206"/>
    <w:rsid w:val="AE0EDC75"/>
    <w:rsid w:val="AF7F9F89"/>
    <w:rsid w:val="B7BBEDDB"/>
    <w:rsid w:val="DDBCFABB"/>
    <w:rsid w:val="DEFFA026"/>
    <w:rsid w:val="DF014E0E"/>
    <w:rsid w:val="DF5DAD5C"/>
    <w:rsid w:val="E7BFB50E"/>
    <w:rsid w:val="E8CE9090"/>
    <w:rsid w:val="E8F78764"/>
    <w:rsid w:val="E96D1A53"/>
    <w:rsid w:val="EDFD5599"/>
    <w:rsid w:val="F5BF4C81"/>
    <w:rsid w:val="F75B32E9"/>
    <w:rsid w:val="FBEC2C11"/>
    <w:rsid w:val="FEAA9030"/>
    <w:rsid w:val="FF4B805E"/>
    <w:rsid w:val="FF9F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40"/>
    </w:pPr>
  </w:style>
  <w:style w:type="paragraph" w:styleId="3">
    <w:name w:val="Balloon Text"/>
    <w:basedOn w:val="1"/>
    <w:next w:val="4"/>
    <w:unhideWhenUsed/>
    <w:qFormat/>
    <w:uiPriority w:val="99"/>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paragraph" w:styleId="7">
    <w:name w:val="Body Text First Indent 2"/>
    <w:qFormat/>
    <w:uiPriority w:val="0"/>
    <w:pPr>
      <w:ind w:firstLine="420" w:firstLineChars="200"/>
    </w:pPr>
    <w:rPr>
      <w:rFonts w:ascii="Times New Roman" w:hAnsi="Times New Roman" w:eastAsia="宋体" w:cs="Times New Roman"/>
      <w:lang w:val="en-US" w:eastAsia="zh-CN" w:bidi="ar-SA"/>
    </w:rPr>
  </w:style>
  <w:style w:type="character" w:styleId="10">
    <w:name w:val="Strong"/>
    <w:basedOn w:val="9"/>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568</Words>
  <Characters>3241</Characters>
  <Lines>27</Lines>
  <Paragraphs>7</Paragraphs>
  <TotalTime>1</TotalTime>
  <ScaleCrop>false</ScaleCrop>
  <LinksUpToDate>false</LinksUpToDate>
  <CharactersWithSpaces>3802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huawei</dc:creator>
  <cp:lastModifiedBy>不愿透漏姓名的洛松多吉</cp:lastModifiedBy>
  <dcterms:modified xsi:type="dcterms:W3CDTF">2025-06-23T04:30:15Z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